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071D6">
      <w:pPr>
        <w:jc w:val="center"/>
        <w:rPr>
          <w:rFonts w:ascii="Times New Roman" w:eastAsia="方正小标宋简体"/>
          <w:color w:val="000000"/>
          <w:sz w:val="36"/>
          <w:szCs w:val="36"/>
        </w:rPr>
      </w:pPr>
      <w:bookmarkStart w:id="0" w:name="_GoBack"/>
      <w:bookmarkEnd w:id="0"/>
      <w:r>
        <w:rPr>
          <w:rFonts w:ascii="Times New Roman" w:eastAsia="方正小标宋简体"/>
          <w:color w:val="000000"/>
          <w:sz w:val="36"/>
          <w:szCs w:val="36"/>
        </w:rPr>
        <w:t>2024年度</w:t>
      </w:r>
      <w:r>
        <w:rPr>
          <w:rFonts w:hint="eastAsia" w:ascii="Times New Roman" w:eastAsia="方正小标宋简体"/>
          <w:color w:val="000000"/>
          <w:sz w:val="36"/>
          <w:szCs w:val="36"/>
        </w:rPr>
        <w:t>吉林省</w:t>
      </w:r>
      <w:r>
        <w:rPr>
          <w:rFonts w:ascii="Times New Roman" w:eastAsia="方正小标宋简体"/>
          <w:color w:val="000000"/>
          <w:sz w:val="36"/>
          <w:szCs w:val="36"/>
        </w:rPr>
        <w:t>科学技术进步奖</w:t>
      </w:r>
      <w:r>
        <w:rPr>
          <w:rFonts w:hint="eastAsia" w:ascii="Times New Roman" w:eastAsia="方正小标宋简体"/>
          <w:color w:val="000000"/>
          <w:sz w:val="36"/>
          <w:szCs w:val="36"/>
        </w:rPr>
        <w:t>申报项目</w:t>
      </w:r>
    </w:p>
    <w:p w14:paraId="2E998D3E">
      <w:pPr>
        <w:jc w:val="center"/>
        <w:rPr>
          <w:rFonts w:ascii="Times New Roman" w:eastAsia="方正小标宋简体"/>
          <w:color w:val="000000"/>
          <w:sz w:val="36"/>
          <w:szCs w:val="36"/>
        </w:rPr>
      </w:pPr>
      <w:r>
        <w:rPr>
          <w:rFonts w:hint="eastAsia" w:ascii="Times New Roman" w:eastAsia="方正小标宋简体"/>
          <w:color w:val="000000"/>
          <w:sz w:val="36"/>
          <w:szCs w:val="36"/>
        </w:rPr>
        <w:t>公示材料</w:t>
      </w:r>
    </w:p>
    <w:p w14:paraId="5828FF0E">
      <w:pPr>
        <w:spacing w:before="101" w:line="224" w:lineRule="auto"/>
        <w:ind w:left="32"/>
        <w:outlineLvl w:val="1"/>
        <w:rPr>
          <w:rFonts w:ascii="黑体" w:hAnsi="黑体" w:eastAsia="黑体" w:cs="黑体"/>
          <w:sz w:val="31"/>
          <w:szCs w:val="31"/>
        </w:rPr>
      </w:pPr>
      <w:r>
        <w:rPr>
          <w:rFonts w:ascii="黑体" w:hAnsi="黑体" w:eastAsia="黑体" w:cs="黑体"/>
          <w:color w:val="333333"/>
          <w:spacing w:val="7"/>
          <w:sz w:val="31"/>
          <w:szCs w:val="31"/>
        </w:rPr>
        <w:t>一、项目名称</w:t>
      </w:r>
    </w:p>
    <w:p w14:paraId="37CDA702">
      <w:pPr>
        <w:pStyle w:val="2"/>
        <w:spacing w:before="269" w:line="216" w:lineRule="auto"/>
        <w:ind w:left="463"/>
      </w:pPr>
      <w:r>
        <w:rPr>
          <w:rFonts w:hint="eastAsia"/>
        </w:rPr>
        <w:t>松花江流域水资源全要素优化配置与粮食生态安全保障关键技术</w:t>
      </w:r>
    </w:p>
    <w:p w14:paraId="0FF36416">
      <w:pPr>
        <w:spacing w:before="274" w:line="224" w:lineRule="auto"/>
        <w:ind w:left="32"/>
        <w:outlineLvl w:val="1"/>
        <w:rPr>
          <w:rFonts w:ascii="黑体" w:hAnsi="黑体" w:eastAsia="黑体" w:cs="黑体"/>
          <w:sz w:val="31"/>
          <w:szCs w:val="31"/>
        </w:rPr>
      </w:pPr>
      <w:r>
        <w:rPr>
          <w:rFonts w:ascii="黑体" w:hAnsi="黑体" w:eastAsia="黑体" w:cs="黑体"/>
          <w:color w:val="333333"/>
          <w:spacing w:val="7"/>
          <w:sz w:val="31"/>
          <w:szCs w:val="31"/>
        </w:rPr>
        <w:t>二、申报奖励等级</w:t>
      </w:r>
    </w:p>
    <w:p w14:paraId="07535F9C">
      <w:pPr>
        <w:pStyle w:val="2"/>
        <w:spacing w:before="269" w:line="219" w:lineRule="auto"/>
        <w:ind w:left="454"/>
        <w:rPr>
          <w:color w:val="333333"/>
          <w:spacing w:val="-3"/>
        </w:rPr>
      </w:pPr>
      <w:r>
        <w:rPr>
          <w:color w:val="333333"/>
          <w:spacing w:val="-3"/>
        </w:rPr>
        <w:t>吉林省</w:t>
      </w:r>
      <w:r>
        <w:rPr>
          <w:rFonts w:hint="eastAsia"/>
          <w:color w:val="333333"/>
          <w:spacing w:val="-3"/>
        </w:rPr>
        <w:t>科学</w:t>
      </w:r>
      <w:r>
        <w:rPr>
          <w:color w:val="333333"/>
          <w:spacing w:val="-3"/>
        </w:rPr>
        <w:t>技术</w:t>
      </w:r>
      <w:r>
        <w:rPr>
          <w:rFonts w:hint="eastAsia"/>
          <w:color w:val="333333"/>
          <w:spacing w:val="-3"/>
        </w:rPr>
        <w:t>进步</w:t>
      </w:r>
      <w:r>
        <w:rPr>
          <w:color w:val="333333"/>
          <w:spacing w:val="-3"/>
        </w:rPr>
        <w:t>二等奖</w:t>
      </w:r>
    </w:p>
    <w:p w14:paraId="5B12C8F2">
      <w:pPr>
        <w:spacing w:before="270" w:line="224" w:lineRule="auto"/>
        <w:ind w:left="33"/>
        <w:outlineLvl w:val="1"/>
        <w:rPr>
          <w:rFonts w:ascii="黑体" w:hAnsi="黑体" w:eastAsia="黑体" w:cs="黑体"/>
          <w:sz w:val="31"/>
          <w:szCs w:val="31"/>
        </w:rPr>
      </w:pPr>
      <w:r>
        <w:rPr>
          <w:rFonts w:ascii="黑体" w:hAnsi="黑体" w:eastAsia="黑体" w:cs="黑体"/>
          <w:color w:val="333333"/>
          <w:spacing w:val="7"/>
          <w:sz w:val="31"/>
          <w:szCs w:val="31"/>
        </w:rPr>
        <w:t>三、成果完成单位</w:t>
      </w:r>
    </w:p>
    <w:p w14:paraId="7AB3C048">
      <w:pPr>
        <w:pStyle w:val="2"/>
        <w:spacing w:before="269" w:line="397" w:lineRule="auto"/>
        <w:ind w:left="32" w:right="241" w:firstLine="456"/>
        <w:rPr>
          <w:color w:val="333333"/>
          <w:spacing w:val="-1"/>
        </w:rPr>
      </w:pPr>
      <w:r>
        <w:rPr>
          <w:rFonts w:hint="eastAsia"/>
          <w:color w:val="333333"/>
          <w:spacing w:val="-1"/>
        </w:rPr>
        <w:t>松辽水利委员会流域规划与政策研究中心、中国水利水电科学研究院、吉林省水利水电勘测设计研究院</w:t>
      </w:r>
      <w:r>
        <w:rPr>
          <w:color w:val="333333"/>
          <w:spacing w:val="-1"/>
        </w:rPr>
        <w:t>。</w:t>
      </w:r>
    </w:p>
    <w:p w14:paraId="435500B7">
      <w:pPr>
        <w:spacing w:before="22" w:line="224" w:lineRule="auto"/>
        <w:ind w:left="45"/>
        <w:outlineLvl w:val="1"/>
        <w:rPr>
          <w:rFonts w:ascii="黑体" w:hAnsi="黑体" w:eastAsia="黑体" w:cs="黑体"/>
          <w:sz w:val="31"/>
          <w:szCs w:val="31"/>
        </w:rPr>
      </w:pPr>
      <w:r>
        <w:rPr>
          <w:rFonts w:ascii="黑体" w:hAnsi="黑体" w:eastAsia="黑体" w:cs="黑体"/>
          <w:color w:val="333333"/>
          <w:spacing w:val="5"/>
          <w:sz w:val="31"/>
          <w:szCs w:val="31"/>
        </w:rPr>
        <w:t>四、完成人名单</w:t>
      </w:r>
    </w:p>
    <w:p w14:paraId="2F093430">
      <w:pPr>
        <w:pStyle w:val="2"/>
        <w:spacing w:before="270" w:line="398" w:lineRule="auto"/>
        <w:ind w:left="33" w:right="240" w:firstLine="466"/>
        <w:rPr>
          <w:color w:val="333333"/>
          <w:spacing w:val="-14"/>
        </w:rPr>
      </w:pPr>
      <w:r>
        <w:rPr>
          <w:rFonts w:hint="eastAsia"/>
          <w:color w:val="333333"/>
          <w:spacing w:val="-14"/>
        </w:rPr>
        <w:t>李光华、游进军、陈娟、贺华翔、陈伟、赵立志、王婷、黄鹤、林鹏飞、尹雄锐、李传哲、陈爱琪、关雪</w:t>
      </w:r>
      <w:r>
        <w:rPr>
          <w:color w:val="333333"/>
          <w:spacing w:val="-14"/>
        </w:rPr>
        <w:t>。</w:t>
      </w:r>
    </w:p>
    <w:p w14:paraId="65ACC74D">
      <w:pPr>
        <w:spacing w:before="19" w:line="224" w:lineRule="auto"/>
        <w:ind w:left="35"/>
        <w:outlineLvl w:val="1"/>
        <w:rPr>
          <w:rFonts w:ascii="黑体" w:hAnsi="黑体" w:eastAsia="黑体" w:cs="黑体"/>
          <w:sz w:val="31"/>
          <w:szCs w:val="31"/>
        </w:rPr>
      </w:pPr>
      <w:r>
        <w:rPr>
          <w:rFonts w:ascii="黑体" w:hAnsi="黑体" w:eastAsia="黑体" w:cs="黑体"/>
          <w:color w:val="333333"/>
          <w:spacing w:val="6"/>
          <w:sz w:val="31"/>
          <w:szCs w:val="31"/>
        </w:rPr>
        <w:t>五、成果创新点</w:t>
      </w:r>
    </w:p>
    <w:p w14:paraId="7A232DCC">
      <w:pPr>
        <w:pStyle w:val="2"/>
        <w:spacing w:before="269" w:line="397" w:lineRule="auto"/>
        <w:ind w:left="32" w:right="241" w:firstLine="556" w:firstLineChars="200"/>
        <w:rPr>
          <w:color w:val="333333"/>
          <w:spacing w:val="-1"/>
        </w:rPr>
      </w:pPr>
      <w:r>
        <w:rPr>
          <w:rFonts w:hint="eastAsia"/>
          <w:color w:val="333333"/>
          <w:spacing w:val="-1"/>
        </w:rPr>
        <w:t>面向国家粮食安全战略和生态安全保障要求，创造性提出多尺度、多过程、多要素耦合的流域整体性水资源综合调配理论技术体系。</w:t>
      </w:r>
    </w:p>
    <w:p w14:paraId="32A0DA4E">
      <w:pPr>
        <w:pStyle w:val="2"/>
        <w:spacing w:before="269" w:line="397" w:lineRule="auto"/>
        <w:ind w:left="32" w:right="241" w:firstLine="456"/>
        <w:rPr>
          <w:color w:val="333333"/>
          <w:spacing w:val="-1"/>
        </w:rPr>
      </w:pPr>
      <w:r>
        <w:rPr>
          <w:rFonts w:hint="eastAsia"/>
          <w:color w:val="333333"/>
          <w:spacing w:val="-1"/>
        </w:rPr>
        <w:t>（1）提出保障农业和生态双重安全的水土资源协同调控技术，建立水资源刚性约束与国土空间管控约束下的灌区良性发展分析途径。</w:t>
      </w:r>
    </w:p>
    <w:p w14:paraId="5FE3AB17">
      <w:pPr>
        <w:pStyle w:val="2"/>
        <w:spacing w:before="269" w:line="397" w:lineRule="auto"/>
        <w:ind w:left="32" w:right="241" w:firstLine="456"/>
        <w:rPr>
          <w:color w:val="333333"/>
          <w:spacing w:val="-1"/>
        </w:rPr>
      </w:pPr>
      <w:r>
        <w:rPr>
          <w:rFonts w:hint="eastAsia"/>
          <w:color w:val="333333"/>
          <w:spacing w:val="-1"/>
        </w:rPr>
        <w:t>（2）提出水资源“量-质-能-生-效”等全要素内涵、调控目标和模型构建技术，解决了当前水资源配置多目标难以协同和反馈互动的难题。</w:t>
      </w:r>
    </w:p>
    <w:p w14:paraId="6F07CC45">
      <w:pPr>
        <w:pStyle w:val="2"/>
        <w:spacing w:before="269" w:line="397" w:lineRule="auto"/>
        <w:ind w:left="32" w:right="241" w:firstLine="456"/>
        <w:rPr>
          <w:color w:val="333333"/>
          <w:spacing w:val="-1"/>
        </w:rPr>
      </w:pPr>
      <w:r>
        <w:rPr>
          <w:rFonts w:hint="eastAsia"/>
          <w:color w:val="333333"/>
          <w:spacing w:val="-1"/>
        </w:rPr>
        <w:t>（3）创建了面向流域生态安全的综合调度技术体系，解决了多目标保障需求下流域水量配置与工程调度决策衔接耦合的难题。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3"/>
    <w:rsid w:val="00036F17"/>
    <w:rsid w:val="000E2B0E"/>
    <w:rsid w:val="00156ECC"/>
    <w:rsid w:val="002010BC"/>
    <w:rsid w:val="0027556E"/>
    <w:rsid w:val="0029542B"/>
    <w:rsid w:val="003F4EAE"/>
    <w:rsid w:val="00454DEC"/>
    <w:rsid w:val="004B505F"/>
    <w:rsid w:val="004F0D72"/>
    <w:rsid w:val="00725D35"/>
    <w:rsid w:val="007E0B91"/>
    <w:rsid w:val="007F3CC7"/>
    <w:rsid w:val="0088236F"/>
    <w:rsid w:val="00A21EAF"/>
    <w:rsid w:val="00AA2856"/>
    <w:rsid w:val="00AF5A14"/>
    <w:rsid w:val="00B2213D"/>
    <w:rsid w:val="00B66ACE"/>
    <w:rsid w:val="00CB5D63"/>
    <w:rsid w:val="00CF2D9E"/>
    <w:rsid w:val="00CF7245"/>
    <w:rsid w:val="00E64922"/>
    <w:rsid w:val="00FA7B5C"/>
    <w:rsid w:val="00FF1B20"/>
    <w:rsid w:val="16B3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semiHidden/>
    <w:qFormat/>
    <w:uiPriority w:val="0"/>
    <w:rPr>
      <w:rFonts w:ascii="仿宋" w:hAnsi="仿宋" w:eastAsia="仿宋" w:cs="仿宋"/>
      <w:sz w:val="28"/>
      <w:szCs w:val="28"/>
      <w14:ligatures w14:val="standardContextual"/>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customStyle="1" w:styleId="7">
    <w:name w:val="正文文本 Char"/>
    <w:basedOn w:val="6"/>
    <w:link w:val="2"/>
    <w:semiHidden/>
    <w:qFormat/>
    <w:uiPriority w:val="0"/>
    <w:rPr>
      <w:rFonts w:ascii="仿宋" w:hAnsi="仿宋" w:eastAsia="仿宋" w:cs="仿宋"/>
      <w:sz w:val="28"/>
      <w:szCs w:val="28"/>
      <w14:ligatures w14:val="standardContextua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427</Words>
  <Characters>430</Characters>
  <Lines>3</Lines>
  <Paragraphs>1</Paragraphs>
  <TotalTime>13</TotalTime>
  <ScaleCrop>false</ScaleCrop>
  <LinksUpToDate>false</LinksUpToDate>
  <CharactersWithSpaces>430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2024-09-10T07:14:00Z</dcterms:created>
  <dc:creator>浩汉 肖</dc:creator>
  <cp:lastModifiedBy>gyl</cp:lastModifiedBy>
  <dcterms:modified xsi:type="dcterms:W3CDTF">2025-04-22T08:51:23Z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67392B2513D54A2AA4FFEB67F50BF035_13</vt:lpwstr>
  </property>
</Properties>
</file>