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16"/>
        <w:spacing w:after="0" w:line="360" w:lineRule="auto"/>
        <w:ind w:right="-254" w:rightChars="-121"/>
        <w:outlineLvl w:val="0"/>
        <w:rPr>
          <w:rFonts w:ascii="华文中宋" w:hAnsi="华文中宋" w:eastAsia="华文中宋" w:cstheme="minorBidi"/>
          <w:spacing w:val="0"/>
          <w:kern w:val="2"/>
          <w:sz w:val="30"/>
          <w:szCs w:val="30"/>
        </w:rPr>
      </w:pPr>
      <w:bookmarkStart w:id="0" w:name="OLE_LINK3"/>
      <w:bookmarkStart w:id="6" w:name="_GoBack"/>
      <w:bookmarkEnd w:id="6"/>
      <w:r>
        <w:rPr>
          <w:rFonts w:hint="eastAsia" w:ascii="华文中宋" w:hAnsi="华文中宋" w:eastAsia="华文中宋" w:cstheme="minorBidi"/>
          <w:spacing w:val="0"/>
          <w:kern w:val="2"/>
          <w:sz w:val="30"/>
          <w:szCs w:val="30"/>
        </w:rPr>
        <w:t>202</w:t>
      </w:r>
      <w:r>
        <w:rPr>
          <w:rFonts w:ascii="华文中宋" w:hAnsi="华文中宋" w:eastAsia="华文中宋" w:cstheme="minorBidi"/>
          <w:spacing w:val="0"/>
          <w:kern w:val="2"/>
          <w:sz w:val="30"/>
          <w:szCs w:val="30"/>
        </w:rPr>
        <w:t>3-2024</w:t>
      </w:r>
      <w:r>
        <w:rPr>
          <w:rFonts w:hint="eastAsia" w:ascii="华文中宋" w:hAnsi="华文中宋" w:eastAsia="华文中宋" w:cstheme="minorBidi"/>
          <w:spacing w:val="0"/>
          <w:kern w:val="2"/>
          <w:sz w:val="30"/>
          <w:szCs w:val="30"/>
        </w:rPr>
        <w:t>年度中国城市规划学会科技进步奖</w:t>
      </w:r>
    </w:p>
    <w:bookmarkEnd w:id="0"/>
    <w:p>
      <w:pPr>
        <w:pStyle w:val="16"/>
        <w:spacing w:after="0" w:line="360" w:lineRule="auto"/>
        <w:outlineLvl w:val="0"/>
        <w:rPr>
          <w:rFonts w:ascii="华文中宋" w:hAnsi="华文中宋" w:eastAsia="华文中宋" w:cstheme="minorBidi"/>
          <w:spacing w:val="0"/>
          <w:kern w:val="2"/>
          <w:sz w:val="30"/>
          <w:szCs w:val="30"/>
        </w:rPr>
      </w:pPr>
      <w:r>
        <w:rPr>
          <w:rFonts w:hint="eastAsia" w:ascii="华文中宋" w:hAnsi="华文中宋" w:eastAsia="华文中宋" w:cstheme="minorBidi"/>
          <w:spacing w:val="0"/>
          <w:kern w:val="2"/>
          <w:sz w:val="30"/>
          <w:szCs w:val="30"/>
        </w:rPr>
        <w:t>推荐项目公示内容</w:t>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803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38" w:type="dxa"/>
            <w:gridSpan w:val="2"/>
            <w:vAlign w:val="center"/>
          </w:tcPr>
          <w:p>
            <w:pPr>
              <w:jc w:val="center"/>
              <w:rPr>
                <w:rFonts w:ascii="宋体" w:hAnsi="宋体" w:eastAsia="宋体"/>
                <w:sz w:val="24"/>
                <w:szCs w:val="24"/>
              </w:rPr>
            </w:pPr>
            <w:r>
              <w:rPr>
                <w:rFonts w:hint="eastAsia" w:ascii="宋体" w:hAnsi="宋体" w:eastAsia="宋体" w:cs="宋体"/>
                <w:sz w:val="24"/>
                <w:szCs w:val="24"/>
              </w:rPr>
              <w:t>项目基本信息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vAlign w:val="center"/>
          </w:tcPr>
          <w:p>
            <w:pPr>
              <w:rPr>
                <w:rFonts w:ascii="宋体" w:hAnsi="宋体" w:eastAsia="宋体"/>
                <w:sz w:val="24"/>
                <w:szCs w:val="24"/>
              </w:rPr>
            </w:pPr>
            <w:r>
              <w:rPr>
                <w:rFonts w:hint="eastAsia" w:ascii="宋体" w:hAnsi="宋体" w:eastAsia="宋体"/>
                <w:sz w:val="24"/>
                <w:szCs w:val="24"/>
              </w:rPr>
              <w:t>推荐单位（人）</w:t>
            </w:r>
          </w:p>
        </w:tc>
        <w:tc>
          <w:tcPr>
            <w:tcW w:w="8032" w:type="dxa"/>
            <w:vAlign w:val="center"/>
          </w:tcPr>
          <w:p>
            <w:pPr>
              <w:rPr>
                <w:rFonts w:ascii="宋体" w:hAnsi="宋体" w:eastAsia="宋体"/>
                <w:sz w:val="24"/>
                <w:szCs w:val="24"/>
              </w:rPr>
            </w:pPr>
            <w:r>
              <w:rPr>
                <w:rFonts w:hint="eastAsia" w:ascii="宋体" w:hAnsi="宋体" w:eastAsia="宋体"/>
                <w:sz w:val="24"/>
                <w:szCs w:val="24"/>
              </w:rPr>
              <w:t>王浩</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vAlign w:val="center"/>
          </w:tcPr>
          <w:p>
            <w:pPr>
              <w:rPr>
                <w:rFonts w:ascii="宋体" w:hAnsi="宋体" w:eastAsia="宋体"/>
                <w:sz w:val="24"/>
                <w:szCs w:val="24"/>
              </w:rPr>
            </w:pPr>
            <w:r>
              <w:rPr>
                <w:rFonts w:hint="eastAsia" w:ascii="宋体" w:hAnsi="宋体" w:eastAsia="宋体"/>
                <w:sz w:val="24"/>
                <w:szCs w:val="24"/>
              </w:rPr>
              <w:t>项目名称</w:t>
            </w:r>
          </w:p>
        </w:tc>
        <w:tc>
          <w:tcPr>
            <w:tcW w:w="8032" w:type="dxa"/>
            <w:vAlign w:val="center"/>
          </w:tcPr>
          <w:p>
            <w:pPr>
              <w:rPr>
                <w:rFonts w:ascii="宋体" w:hAnsi="宋体" w:eastAsia="宋体"/>
                <w:sz w:val="24"/>
                <w:szCs w:val="24"/>
              </w:rPr>
            </w:pPr>
            <w:r>
              <w:rPr>
                <w:rFonts w:hint="eastAsia" w:ascii="宋体" w:hAnsi="宋体" w:eastAsia="宋体"/>
                <w:sz w:val="24"/>
                <w:szCs w:val="24"/>
              </w:rPr>
              <w:t>城乡统筹全链条构建农村生活污水治理体系及其关键技术集成与应用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vAlign w:val="center"/>
          </w:tcPr>
          <w:p>
            <w:pPr>
              <w:rPr>
                <w:rFonts w:ascii="宋体" w:hAnsi="宋体" w:eastAsia="宋体"/>
                <w:sz w:val="24"/>
                <w:szCs w:val="24"/>
              </w:rPr>
            </w:pPr>
            <w:r>
              <w:rPr>
                <w:rFonts w:hint="eastAsia" w:ascii="宋体" w:hAnsi="宋体" w:eastAsia="宋体"/>
                <w:sz w:val="24"/>
                <w:szCs w:val="24"/>
              </w:rPr>
              <w:t>主要完成人</w:t>
            </w:r>
          </w:p>
        </w:tc>
        <w:tc>
          <w:tcPr>
            <w:tcW w:w="8032" w:type="dxa"/>
            <w:vAlign w:val="center"/>
          </w:tcPr>
          <w:p>
            <w:pPr>
              <w:rPr>
                <w:rFonts w:ascii="宋体" w:hAnsi="宋体" w:eastAsia="宋体"/>
                <w:sz w:val="24"/>
                <w:szCs w:val="24"/>
              </w:rPr>
            </w:pPr>
            <w:r>
              <w:rPr>
                <w:rFonts w:hint="eastAsia" w:ascii="宋体" w:hAnsi="宋体" w:eastAsia="宋体"/>
                <w:sz w:val="24"/>
                <w:szCs w:val="24"/>
              </w:rPr>
              <w:t>林中奇、陈秀丽、佘林、何子张、蔡文倩、叶颖恺、王珏、关天胜、蒋世峰、卓祖杉、吴义诚、周峰、李姜维、邹俊、张睿多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vAlign w:val="center"/>
          </w:tcPr>
          <w:p>
            <w:pPr>
              <w:rPr>
                <w:rFonts w:ascii="宋体" w:hAnsi="宋体" w:eastAsia="宋体"/>
                <w:sz w:val="24"/>
                <w:szCs w:val="24"/>
              </w:rPr>
            </w:pPr>
            <w:r>
              <w:rPr>
                <w:rFonts w:hint="eastAsia" w:ascii="宋体" w:hAnsi="宋体" w:eastAsia="宋体"/>
                <w:sz w:val="24"/>
                <w:szCs w:val="24"/>
              </w:rPr>
              <w:t>主要完成</w:t>
            </w:r>
          </w:p>
          <w:p>
            <w:pPr>
              <w:rPr>
                <w:rFonts w:ascii="宋体" w:hAnsi="宋体" w:eastAsia="宋体"/>
                <w:sz w:val="24"/>
                <w:szCs w:val="24"/>
              </w:rPr>
            </w:pPr>
            <w:r>
              <w:rPr>
                <w:rFonts w:hint="eastAsia" w:ascii="宋体" w:hAnsi="宋体" w:eastAsia="宋体"/>
                <w:sz w:val="24"/>
                <w:szCs w:val="24"/>
              </w:rPr>
              <w:t>单位</w:t>
            </w:r>
          </w:p>
        </w:tc>
        <w:tc>
          <w:tcPr>
            <w:tcW w:w="8032" w:type="dxa"/>
            <w:vAlign w:val="center"/>
          </w:tcPr>
          <w:p>
            <w:pPr>
              <w:rPr>
                <w:rFonts w:ascii="宋体" w:hAnsi="宋体" w:eastAsia="宋体"/>
                <w:sz w:val="24"/>
                <w:szCs w:val="24"/>
              </w:rPr>
            </w:pPr>
            <w:bookmarkStart w:id="1" w:name="OLE_LINK2"/>
            <w:r>
              <w:rPr>
                <w:rFonts w:hint="eastAsia" w:ascii="宋体" w:hAnsi="宋体" w:eastAsia="宋体"/>
                <w:sz w:val="24"/>
                <w:szCs w:val="24"/>
              </w:rPr>
              <w:t>厦门市城市规划设计研究院有限公司、生态环境部土壤与农业农村生态环境监管技术中心、福建省环境保护设计院有限公司、厦门理工学院、厦门智研晨图科技有限公司、杭州沁霖生态科技有限公司、中国科学院城市环境研究所</w:t>
            </w:r>
            <w:bookmarkEnd w:id="1"/>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38" w:type="dxa"/>
            <w:gridSpan w:val="2"/>
            <w:vAlign w:val="center"/>
          </w:tcPr>
          <w:p>
            <w:pPr>
              <w:pStyle w:val="41"/>
              <w:rPr>
                <w:rFonts w:ascii="宋体" w:hAnsi="宋体"/>
                <w:color w:val="auto"/>
                <w:sz w:val="24"/>
                <w:szCs w:val="24"/>
              </w:rPr>
            </w:pPr>
            <w:r>
              <w:rPr>
                <w:rFonts w:hint="eastAsia" w:ascii="宋体" w:hAnsi="宋体"/>
                <w:color w:val="auto"/>
                <w:sz w:val="24"/>
                <w:szCs w:val="24"/>
                <w:lang w:eastAsia="zh-CN"/>
              </w:rPr>
              <w:t>项目简介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38" w:type="dxa"/>
            <w:gridSpan w:val="2"/>
            <w:vAlign w:val="center"/>
          </w:tcPr>
          <w:p>
            <w:pPr>
              <w:tabs>
                <w:tab w:val="left" w:pos="720"/>
              </w:tabs>
              <w:adjustRightInd w:val="0"/>
              <w:snapToGrid w:val="0"/>
              <w:spacing w:before="156" w:beforeLines="50" w:after="156" w:afterLines="50" w:line="360" w:lineRule="auto"/>
              <w:ind w:firstLine="420"/>
              <w:rPr>
                <w:rFonts w:eastAsia="宋体" w:cs="宋体"/>
                <w:kern w:val="0"/>
                <w:szCs w:val="24"/>
              </w:rPr>
            </w:pPr>
            <w:r>
              <w:rPr>
                <w:rFonts w:hint="eastAsia" w:eastAsia="宋体" w:cs="宋体"/>
                <w:kern w:val="0"/>
                <w:szCs w:val="24"/>
              </w:rPr>
              <w:t>本项目围绕党中央关于乡村振兴与生态文明建设战略部署，针对农村生活污水治理城乡统筹不足、技术体系碎片化、运维机制缺失等难题，以厦门市为实践基地，创新构建了全链条治理体系，形成了可复制推广关键技术。</w:t>
            </w:r>
          </w:p>
          <w:p>
            <w:pPr>
              <w:tabs>
                <w:tab w:val="left" w:pos="720"/>
              </w:tabs>
              <w:adjustRightInd w:val="0"/>
              <w:snapToGrid w:val="0"/>
              <w:spacing w:before="156" w:beforeLines="50" w:after="156" w:afterLines="50" w:line="360" w:lineRule="auto"/>
              <w:ind w:firstLine="420"/>
              <w:rPr>
                <w:rFonts w:eastAsia="宋体" w:cs="宋体"/>
                <w:kern w:val="0"/>
                <w:szCs w:val="24"/>
              </w:rPr>
            </w:pPr>
            <w:r>
              <w:rPr>
                <w:rFonts w:hint="eastAsia" w:eastAsia="宋体" w:cs="宋体"/>
                <w:b/>
                <w:bCs/>
                <w:kern w:val="0"/>
                <w:szCs w:val="24"/>
              </w:rPr>
              <w:t>在顶层设计层面，</w:t>
            </w:r>
            <w:r>
              <w:rPr>
                <w:rFonts w:hint="eastAsia" w:eastAsia="宋体" w:cs="宋体"/>
                <w:kern w:val="0"/>
                <w:szCs w:val="24"/>
              </w:rPr>
              <w:t>通过“法规-标准-政策”三维突破，首创“城乡一体”法治化治理框架，颁布实施《厦门市排水管理办法》，将农村污水治理纳入城乡统一法规体系；建立“市级统筹规划-区级精准传导-镇街分类实施”的三级联动机制，配套6项技术导则及财政补贴政策，实现农村污水治理从“无法可依”到“系统管控”的跨越。创新“挂水征收”模式，破解资金筹措难题，累计统筹各级财政及社会资本超300亿元，指导福建省万村治理工程落地，节省运维成本3000万元/年。</w:t>
            </w:r>
          </w:p>
          <w:p>
            <w:pPr>
              <w:tabs>
                <w:tab w:val="left" w:pos="720"/>
              </w:tabs>
              <w:adjustRightInd w:val="0"/>
              <w:snapToGrid w:val="0"/>
              <w:spacing w:before="156" w:beforeLines="50" w:after="156" w:afterLines="50" w:line="360" w:lineRule="auto"/>
              <w:ind w:firstLine="420"/>
              <w:rPr>
                <w:rFonts w:eastAsia="宋体" w:cs="宋体"/>
                <w:kern w:val="0"/>
                <w:szCs w:val="24"/>
              </w:rPr>
            </w:pPr>
            <w:r>
              <w:rPr>
                <w:rFonts w:hint="eastAsia" w:eastAsia="宋体" w:cs="宋体"/>
                <w:b/>
                <w:bCs/>
                <w:kern w:val="0"/>
                <w:szCs w:val="24"/>
              </w:rPr>
              <w:t>在技术研发上，</w:t>
            </w:r>
            <w:r>
              <w:rPr>
                <w:rFonts w:hint="eastAsia" w:eastAsia="宋体" w:cs="宋体"/>
                <w:kern w:val="0"/>
                <w:szCs w:val="24"/>
              </w:rPr>
              <w:t>构建“低碳循环-智能决策-韧性提升”集成技术体系。研发“强化脱氮除磷生态滤床+呼吸型湿地”工艺，总磷去除率提升至92%，运行能耗降低77%；首创污水量-距离-成本三维决策矩阵，建立重力流/压力流经济临界点算法，科学指导1216个村庄分类实施治理，村庄污水收集率提升至91.2%，黑臭水体消除率达100%。开发“排水管网数字孪生一张图”平台，创新“一户一码”标识系统与“排水管家”智能小程序，实现“居民随手拍-AI诊断-智能派单”闭环运维，管理效率提升60%。</w:t>
            </w:r>
          </w:p>
          <w:p>
            <w:pPr>
              <w:tabs>
                <w:tab w:val="left" w:pos="720"/>
              </w:tabs>
              <w:adjustRightInd w:val="0"/>
              <w:snapToGrid w:val="0"/>
              <w:spacing w:before="156" w:beforeLines="50" w:after="156" w:afterLines="50" w:line="360" w:lineRule="auto"/>
              <w:ind w:firstLine="420"/>
              <w:rPr>
                <w:rFonts w:eastAsia="宋体" w:cs="宋体"/>
                <w:kern w:val="0"/>
                <w:szCs w:val="24"/>
              </w:rPr>
            </w:pPr>
            <w:r>
              <w:rPr>
                <w:rFonts w:hint="eastAsia" w:eastAsia="宋体" w:cs="宋体"/>
                <w:b/>
                <w:bCs/>
                <w:kern w:val="0"/>
                <w:szCs w:val="24"/>
              </w:rPr>
              <w:t>在机制创新方面，</w:t>
            </w:r>
            <w:r>
              <w:rPr>
                <w:rFonts w:hint="eastAsia" w:eastAsia="宋体" w:cs="宋体"/>
                <w:kern w:val="0"/>
                <w:szCs w:val="24"/>
              </w:rPr>
              <w:t>打造“政企民共治”长效模式。通过“设计咨询+村民监理”协同机制，培育千名农污治理志愿者，建立“政府监督、企业运维、村民参与”三方共管体系，破解传统治理中“重建轻管”痼疾，村民满意度达92.5%。创新“污水-光伏-农田”多系统嵌套框架，建设200座分散式处理站全绿能自供给系统，年回用再生水800万吨反哺5万亩高标准农田，实现减污降碳与资源增值协同。典型示范村如翔安区澳头社区实现乡村旅游年收入1.2亿元，形成“绿水青山”向“金山银山”转化的实践样板。</w:t>
            </w:r>
          </w:p>
          <w:p>
            <w:pPr>
              <w:tabs>
                <w:tab w:val="left" w:pos="720"/>
              </w:tabs>
              <w:adjustRightInd w:val="0"/>
              <w:snapToGrid w:val="0"/>
              <w:spacing w:before="156" w:beforeLines="50" w:after="156" w:afterLines="50" w:line="360" w:lineRule="auto"/>
              <w:ind w:firstLine="420"/>
              <w:rPr>
                <w:rFonts w:eastAsia="宋体" w:cs="宋体"/>
                <w:kern w:val="0"/>
                <w:szCs w:val="24"/>
              </w:rPr>
            </w:pPr>
            <w:r>
              <w:rPr>
                <w:rFonts w:hint="eastAsia" w:eastAsia="宋体" w:cs="宋体"/>
                <w:kern w:val="0"/>
                <w:szCs w:val="24"/>
              </w:rPr>
              <w:t>项目成果获生态环境部、福建省委省政府高度认可，列入国家部委案例集，支撑福建省国控断面水质优良率达99.7%，厦门市水环境质量连续6个月位列全国前30。技术推广至9地市614个村庄，获国家专利4项，发表核心论文5篇，制定省级标准1项，培养专业技术人才千余人。中央电视台等主流媒体专题报道，形成“厦门经验”全国辐射效应，为我国农村生态文明建设与乡村振兴战略实施提供了关键技术支撑，具备显著科技进步价值。</w:t>
            </w:r>
          </w:p>
        </w:tc>
      </w:tr>
    </w:tbl>
    <w:p>
      <w:pPr>
        <w:widowControl/>
        <w:jc w:val="left"/>
      </w:pPr>
      <w:r>
        <w:rPr>
          <w:rFonts w:hint="eastAsia"/>
        </w:rPr>
        <w:br w:type="page"/>
      </w:r>
    </w:p>
    <w:p>
      <w:pPr>
        <w:rPr>
          <w:rFonts w:ascii="宋体" w:hAnsi="宋体" w:eastAsia="宋体" w:cs="宋体"/>
          <w:sz w:val="24"/>
          <w:szCs w:val="24"/>
        </w:rPr>
      </w:pP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6"/>
        <w:gridCol w:w="4016"/>
        <w:gridCol w:w="40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38" w:type="dxa"/>
            <w:gridSpan w:val="3"/>
            <w:vAlign w:val="center"/>
          </w:tcPr>
          <w:p>
            <w:pPr>
              <w:pStyle w:val="41"/>
              <w:spacing w:line="240" w:lineRule="auto"/>
              <w:rPr>
                <w:rFonts w:ascii="宋体" w:hAnsi="宋体"/>
                <w:color w:val="auto"/>
                <w:sz w:val="24"/>
                <w:szCs w:val="24"/>
                <w:lang w:eastAsia="zh-CN"/>
              </w:rPr>
            </w:pPr>
            <w:r>
              <w:rPr>
                <w:rFonts w:hint="eastAsia" w:ascii="宋体" w:hAnsi="宋体"/>
                <w:color w:val="auto"/>
                <w:sz w:val="24"/>
                <w:szCs w:val="24"/>
                <w:lang w:eastAsia="zh-CN"/>
              </w:rPr>
              <w:t>推荐单位意见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vAlign w:val="center"/>
          </w:tcPr>
          <w:p>
            <w:pPr>
              <w:pStyle w:val="41"/>
              <w:spacing w:line="240" w:lineRule="auto"/>
              <w:rPr>
                <w:rFonts w:ascii="宋体" w:hAnsi="宋体"/>
                <w:color w:val="auto"/>
                <w:sz w:val="24"/>
                <w:szCs w:val="24"/>
              </w:rPr>
            </w:pPr>
            <w:r>
              <w:rPr>
                <w:rFonts w:hint="eastAsia" w:ascii="宋体" w:hAnsi="宋体"/>
                <w:color w:val="auto"/>
                <w:sz w:val="24"/>
                <w:szCs w:val="24"/>
              </w:rPr>
              <w:t>项目名称</w:t>
            </w:r>
          </w:p>
        </w:tc>
        <w:tc>
          <w:tcPr>
            <w:tcW w:w="8032" w:type="dxa"/>
            <w:gridSpan w:val="2"/>
            <w:vAlign w:val="center"/>
          </w:tcPr>
          <w:p>
            <w:pPr>
              <w:pStyle w:val="41"/>
              <w:spacing w:line="240" w:lineRule="auto"/>
              <w:rPr>
                <w:rFonts w:ascii="宋体" w:hAnsi="宋体"/>
                <w:color w:val="auto"/>
                <w:sz w:val="24"/>
                <w:szCs w:val="24"/>
                <w:lang w:eastAsia="zh-CN"/>
              </w:rPr>
            </w:pPr>
            <w:r>
              <w:rPr>
                <w:rFonts w:hint="eastAsia" w:ascii="宋体" w:hAnsi="宋体" w:cstheme="minorBidi"/>
                <w:color w:val="auto"/>
                <w:sz w:val="24"/>
                <w:szCs w:val="24"/>
                <w:lang w:eastAsia="zh-CN"/>
              </w:rPr>
              <w:t>城乡统筹全链条构建农村生活污水治理体系及其关键技术集成与应用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606" w:type="dxa"/>
            <w:vAlign w:val="center"/>
          </w:tcPr>
          <w:p>
            <w:pPr>
              <w:pStyle w:val="41"/>
              <w:spacing w:line="240" w:lineRule="auto"/>
              <w:rPr>
                <w:rFonts w:ascii="宋体" w:hAnsi="宋体"/>
                <w:color w:val="auto"/>
                <w:sz w:val="24"/>
                <w:szCs w:val="24"/>
                <w:lang w:eastAsia="zh-CN"/>
              </w:rPr>
            </w:pPr>
            <w:r>
              <w:rPr>
                <w:rFonts w:hint="eastAsia" w:ascii="宋体" w:hAnsi="宋体"/>
                <w:color w:val="auto"/>
                <w:sz w:val="24"/>
                <w:szCs w:val="24"/>
                <w:lang w:eastAsia="zh-CN"/>
              </w:rPr>
              <w:t>推荐单位（人）</w:t>
            </w:r>
          </w:p>
        </w:tc>
        <w:tc>
          <w:tcPr>
            <w:tcW w:w="4016" w:type="dxa"/>
            <w:vAlign w:val="center"/>
          </w:tcPr>
          <w:p>
            <w:pPr>
              <w:pStyle w:val="41"/>
              <w:spacing w:line="240" w:lineRule="auto"/>
              <w:rPr>
                <w:rFonts w:ascii="宋体" w:hAnsi="宋体"/>
                <w:color w:val="auto"/>
                <w:sz w:val="24"/>
                <w:szCs w:val="24"/>
                <w:lang w:eastAsia="zh-CN"/>
              </w:rPr>
            </w:pPr>
            <w:r>
              <w:rPr>
                <w:rFonts w:hint="eastAsia" w:ascii="宋体" w:hAnsi="宋体"/>
                <w:color w:val="auto"/>
                <w:sz w:val="24"/>
                <w:szCs w:val="24"/>
                <w:lang w:eastAsia="zh-CN"/>
              </w:rPr>
              <w:t>王浩</w:t>
            </w:r>
          </w:p>
        </w:tc>
        <w:tc>
          <w:tcPr>
            <w:tcW w:w="4016" w:type="dxa"/>
            <w:vAlign w:val="center"/>
          </w:tcPr>
          <w:p>
            <w:pPr>
              <w:pStyle w:val="41"/>
              <w:spacing w:line="240" w:lineRule="auto"/>
              <w:rPr>
                <w:rFonts w:ascii="宋体" w:hAnsi="宋体"/>
                <w:color w:val="auto"/>
                <w:sz w:val="24"/>
                <w:szCs w:val="24"/>
                <w:lang w:eastAsia="zh-CN"/>
              </w:rPr>
            </w:pPr>
            <w:r>
              <w:rPr>
                <w:rFonts w:hint="eastAsia" w:ascii="宋体" w:hAnsi="宋体"/>
                <w:color w:val="auto"/>
                <w:sz w:val="24"/>
                <w:szCs w:val="24"/>
                <w:lang w:eastAsia="zh-CN"/>
              </w:rPr>
              <w:t>推荐资格：两院院士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60" w:hRule="atLeast"/>
          <w:jc w:val="center"/>
        </w:trPr>
        <w:tc>
          <w:tcPr>
            <w:tcW w:w="1606" w:type="dxa"/>
            <w:vAlign w:val="center"/>
          </w:tcPr>
          <w:p>
            <w:pPr>
              <w:pStyle w:val="41"/>
              <w:spacing w:line="240" w:lineRule="auto"/>
              <w:rPr>
                <w:rFonts w:ascii="宋体" w:hAnsi="宋体"/>
                <w:color w:val="auto"/>
                <w:sz w:val="24"/>
                <w:szCs w:val="24"/>
                <w:lang w:eastAsia="zh-CN"/>
              </w:rPr>
            </w:pPr>
            <w:r>
              <w:rPr>
                <w:rFonts w:hint="eastAsia" w:ascii="宋体" w:hAnsi="宋体"/>
                <w:color w:val="auto"/>
                <w:sz w:val="24"/>
                <w:szCs w:val="24"/>
                <w:lang w:eastAsia="zh-CN"/>
              </w:rPr>
              <w:t>推荐意见</w:t>
            </w:r>
          </w:p>
        </w:tc>
        <w:tc>
          <w:tcPr>
            <w:tcW w:w="8032" w:type="dxa"/>
            <w:gridSpan w:val="2"/>
          </w:tcPr>
          <w:p>
            <w:pPr>
              <w:pStyle w:val="42"/>
              <w:spacing w:beforeLines="0" w:afterLines="0" w:line="240" w:lineRule="auto"/>
              <w:ind w:firstLine="420"/>
              <w:rPr>
                <w:rFonts w:eastAsia="宋体" w:cs="宋体"/>
                <w:sz w:val="21"/>
                <w:szCs w:val="21"/>
              </w:rPr>
            </w:pPr>
            <w:bookmarkStart w:id="2" w:name="OLE_LINK14"/>
            <w:r>
              <w:rPr>
                <w:rFonts w:hint="eastAsia" w:eastAsia="宋体" w:cs="宋体"/>
                <w:sz w:val="21"/>
                <w:szCs w:val="21"/>
              </w:rPr>
              <w:t>经全面评估《城乡统筹全链条构建农村生活污水治理体系及其关键技术集成与应用》项目的科技价值与实践成效，现推荐其申报一等奖，具体意见如下：</w:t>
            </w:r>
            <w:bookmarkEnd w:id="2"/>
          </w:p>
          <w:p>
            <w:pPr>
              <w:ind w:firstLine="200"/>
              <w:jc w:val="left"/>
              <w:rPr>
                <w:rFonts w:eastAsia="宋体" w:cs="宋体"/>
                <w:b/>
                <w:bCs/>
                <w:szCs w:val="21"/>
              </w:rPr>
            </w:pPr>
            <w:r>
              <w:rPr>
                <w:rFonts w:hint="eastAsia" w:eastAsia="宋体" w:cs="宋体"/>
                <w:b/>
                <w:bCs/>
                <w:szCs w:val="21"/>
              </w:rPr>
              <w:t>一、科技创新与先进性</w:t>
            </w:r>
          </w:p>
          <w:p>
            <w:pPr>
              <w:ind w:firstLine="200"/>
              <w:jc w:val="left"/>
              <w:rPr>
                <w:rFonts w:eastAsia="宋体" w:cs="宋体"/>
                <w:b/>
                <w:bCs/>
                <w:szCs w:val="21"/>
              </w:rPr>
            </w:pPr>
            <w:r>
              <w:rPr>
                <w:rFonts w:hint="eastAsia" w:eastAsia="宋体" w:cs="宋体"/>
                <w:b/>
                <w:bCs/>
                <w:szCs w:val="21"/>
              </w:rPr>
              <w:t>（一）开创城乡融合治理体系突破</w:t>
            </w:r>
          </w:p>
          <w:p>
            <w:pPr>
              <w:pStyle w:val="42"/>
              <w:spacing w:beforeLines="0" w:afterLines="0" w:line="240" w:lineRule="auto"/>
              <w:ind w:firstLine="420"/>
              <w:rPr>
                <w:rFonts w:eastAsia="宋体" w:cs="宋体"/>
                <w:sz w:val="21"/>
                <w:szCs w:val="21"/>
              </w:rPr>
            </w:pPr>
            <w:bookmarkStart w:id="3" w:name="OLE_LINK15"/>
            <w:r>
              <w:rPr>
                <w:rFonts w:hint="eastAsia" w:eastAsia="宋体" w:cs="宋体"/>
                <w:sz w:val="21"/>
                <w:szCs w:val="21"/>
              </w:rPr>
              <w:t>首创“法规-标准-政策”三位一体机制，颁布《厦门市排水管理办法》，破解城乡二元治理困境，创新“挂水征收”资金模式</w:t>
            </w:r>
            <w:bookmarkStart w:id="4" w:name="OLE_LINK16"/>
            <w:r>
              <w:rPr>
                <w:rFonts w:hint="eastAsia" w:eastAsia="宋体" w:cs="宋体"/>
                <w:sz w:val="21"/>
                <w:szCs w:val="21"/>
              </w:rPr>
              <w:t>，经验纳入生态环境部全国示范案例</w:t>
            </w:r>
            <w:bookmarkEnd w:id="4"/>
            <w:r>
              <w:rPr>
                <w:rFonts w:hint="eastAsia" w:eastAsia="宋体" w:cs="宋体"/>
                <w:sz w:val="21"/>
                <w:szCs w:val="21"/>
              </w:rPr>
              <w:t>。</w:t>
            </w:r>
            <w:bookmarkEnd w:id="3"/>
          </w:p>
          <w:p>
            <w:pPr>
              <w:ind w:firstLine="422"/>
              <w:rPr>
                <w:rFonts w:eastAsia="宋体" w:cs="宋体"/>
                <w:b/>
                <w:bCs/>
                <w:szCs w:val="21"/>
              </w:rPr>
            </w:pPr>
            <w:r>
              <w:rPr>
                <w:rFonts w:hint="eastAsia" w:eastAsia="宋体" w:cs="宋体"/>
                <w:b/>
                <w:bCs/>
                <w:szCs w:val="21"/>
              </w:rPr>
              <w:t>（二）攻克低碳智慧技术难题</w:t>
            </w:r>
          </w:p>
          <w:p>
            <w:pPr>
              <w:pStyle w:val="42"/>
              <w:spacing w:beforeLines="0" w:afterLines="0" w:line="240" w:lineRule="auto"/>
              <w:ind w:firstLine="420"/>
              <w:rPr>
                <w:rFonts w:eastAsia="宋体" w:cs="宋体"/>
                <w:sz w:val="21"/>
                <w:szCs w:val="21"/>
              </w:rPr>
            </w:pPr>
            <w:bookmarkStart w:id="5" w:name="OLE_LINK17"/>
            <w:r>
              <w:rPr>
                <w:rFonts w:hint="eastAsia" w:eastAsia="宋体" w:cs="宋体"/>
                <w:sz w:val="21"/>
                <w:szCs w:val="21"/>
              </w:rPr>
              <w:t>研发“污水量-距离-成本三维决策矩阵”，科学指导1216个村庄分类治理；开发“强化脱氮除磷生态滤床+呼吸型湿地”工艺，总磷去除率92%、能耗降77%；构建“数字孪生一张图”平台，实现AI智能派单闭环管理，效率提升60%，获6项发明专利及8项标准。</w:t>
            </w:r>
          </w:p>
          <w:bookmarkEnd w:id="5"/>
          <w:p>
            <w:pPr>
              <w:ind w:firstLine="200"/>
              <w:jc w:val="left"/>
              <w:rPr>
                <w:rFonts w:eastAsia="宋体" w:cs="宋体"/>
                <w:b/>
                <w:bCs/>
                <w:szCs w:val="21"/>
              </w:rPr>
            </w:pPr>
            <w:r>
              <w:rPr>
                <w:rFonts w:hint="eastAsia" w:eastAsia="宋体" w:cs="宋体"/>
                <w:b/>
                <w:bCs/>
                <w:szCs w:val="21"/>
              </w:rPr>
              <w:t>（三）引领生态增值协同创新</w:t>
            </w:r>
          </w:p>
          <w:p>
            <w:pPr>
              <w:pStyle w:val="42"/>
              <w:spacing w:beforeLines="0" w:afterLines="0" w:line="240" w:lineRule="auto"/>
              <w:ind w:firstLine="420"/>
              <w:rPr>
                <w:rFonts w:eastAsia="宋体" w:cs="宋体"/>
                <w:sz w:val="21"/>
                <w:szCs w:val="21"/>
              </w:rPr>
            </w:pPr>
            <w:r>
              <w:rPr>
                <w:rFonts w:hint="eastAsia" w:eastAsia="宋体" w:cs="宋体"/>
                <w:sz w:val="21"/>
                <w:szCs w:val="21"/>
              </w:rPr>
              <w:t>创建“污水-光伏-农田”多系统框架，200座处理站年回用再生水800万吨灌溉农田，示范村年旅游收入1.2亿元，实现减污与资源增值双赢。</w:t>
            </w:r>
          </w:p>
          <w:p>
            <w:pPr>
              <w:ind w:firstLine="200"/>
              <w:jc w:val="left"/>
              <w:rPr>
                <w:rFonts w:eastAsia="宋体" w:cs="宋体"/>
                <w:b/>
                <w:bCs/>
                <w:szCs w:val="21"/>
              </w:rPr>
            </w:pPr>
            <w:r>
              <w:rPr>
                <w:rFonts w:hint="eastAsia" w:eastAsia="宋体" w:cs="宋体"/>
                <w:b/>
                <w:bCs/>
                <w:szCs w:val="21"/>
              </w:rPr>
              <w:t>二、应用成效与行业贡献</w:t>
            </w:r>
          </w:p>
          <w:p>
            <w:pPr>
              <w:ind w:firstLine="200"/>
              <w:jc w:val="left"/>
              <w:rPr>
                <w:rFonts w:eastAsia="宋体" w:cs="宋体"/>
                <w:b/>
                <w:bCs/>
                <w:szCs w:val="21"/>
              </w:rPr>
            </w:pPr>
            <w:r>
              <w:rPr>
                <w:rFonts w:hint="eastAsia" w:eastAsia="宋体" w:cs="宋体"/>
                <w:b/>
                <w:bCs/>
                <w:szCs w:val="21"/>
              </w:rPr>
              <w:t>（一）治理成效显著</w:t>
            </w:r>
          </w:p>
          <w:p>
            <w:pPr>
              <w:pStyle w:val="42"/>
              <w:spacing w:beforeLines="0" w:afterLines="0" w:line="240" w:lineRule="auto"/>
              <w:ind w:firstLine="420"/>
              <w:rPr>
                <w:rFonts w:eastAsia="宋体" w:cs="宋体"/>
                <w:sz w:val="21"/>
                <w:szCs w:val="21"/>
              </w:rPr>
            </w:pPr>
            <w:r>
              <w:rPr>
                <w:rFonts w:hint="eastAsia" w:eastAsia="宋体" w:cs="宋体"/>
                <w:sz w:val="21"/>
                <w:szCs w:val="21"/>
              </w:rPr>
              <w:t>厦门村庄污水收集率达91.2%，黑臭水体100%消除，支撑福建省国控断面水质优良率99.7%，推广至9地市614村，年省运维成本超3000万元。</w:t>
            </w:r>
          </w:p>
          <w:p>
            <w:pPr>
              <w:ind w:firstLine="200"/>
              <w:jc w:val="left"/>
              <w:rPr>
                <w:rFonts w:eastAsia="宋体" w:cs="宋体"/>
                <w:b/>
                <w:bCs/>
                <w:szCs w:val="21"/>
              </w:rPr>
            </w:pPr>
            <w:r>
              <w:rPr>
                <w:rFonts w:hint="eastAsia" w:eastAsia="宋体" w:cs="宋体"/>
                <w:b/>
                <w:bCs/>
                <w:szCs w:val="21"/>
              </w:rPr>
              <w:t>（二）行业引领突出</w:t>
            </w:r>
          </w:p>
          <w:p>
            <w:pPr>
              <w:pStyle w:val="42"/>
              <w:spacing w:beforeLines="0" w:afterLines="0" w:line="240" w:lineRule="auto"/>
              <w:ind w:firstLine="420"/>
              <w:rPr>
                <w:rFonts w:eastAsia="宋体" w:cs="宋体"/>
                <w:sz w:val="21"/>
                <w:szCs w:val="21"/>
              </w:rPr>
            </w:pPr>
            <w:r>
              <w:rPr>
                <w:rFonts w:hint="eastAsia" w:eastAsia="宋体" w:cs="宋体"/>
                <w:sz w:val="21"/>
                <w:szCs w:val="21"/>
              </w:rPr>
              <w:t>成果写入6项省级标准，培养人才千余名，形成“市级统筹-区级传导-镇街实施”规划范式，获央视等专题报道，为全国县域治理提供“厦门样板”。</w:t>
            </w:r>
          </w:p>
          <w:p>
            <w:pPr>
              <w:ind w:firstLine="200"/>
              <w:jc w:val="left"/>
              <w:rPr>
                <w:rFonts w:eastAsia="宋体" w:cs="宋体"/>
                <w:b/>
                <w:bCs/>
                <w:szCs w:val="21"/>
              </w:rPr>
            </w:pPr>
            <w:r>
              <w:rPr>
                <w:rFonts w:hint="eastAsia" w:eastAsia="宋体" w:cs="宋体"/>
                <w:b/>
                <w:bCs/>
                <w:szCs w:val="21"/>
              </w:rPr>
              <w:t>三、推荐等级</w:t>
            </w:r>
          </w:p>
          <w:p>
            <w:pPr>
              <w:pStyle w:val="42"/>
              <w:spacing w:beforeLines="0" w:afterLines="0" w:line="240" w:lineRule="auto"/>
              <w:ind w:firstLine="420"/>
            </w:pPr>
            <w:r>
              <w:rPr>
                <w:rFonts w:hint="eastAsia" w:eastAsia="宋体" w:cs="宋体"/>
                <w:sz w:val="21"/>
                <w:szCs w:val="21"/>
              </w:rPr>
              <w:t>项目实现城乡污水治理体系革新与技术突破，响应国家乡村振兴与双碳战略，符合“重大技术原创性”和“行业引领性”一等奖标准，建议授予一等奖。</w:t>
            </w:r>
          </w:p>
          <w:p>
            <w:pPr>
              <w:spacing w:line="360" w:lineRule="auto"/>
              <w:ind w:firstLine="480" w:firstLineChars="200"/>
              <w:rPr>
                <w:rFonts w:ascii="宋体" w:hAnsi="宋体" w:eastAsia="宋体" w:cs="宋体"/>
                <w:sz w:val="24"/>
                <w:szCs w:val="24"/>
              </w:rPr>
            </w:pPr>
          </w:p>
        </w:tc>
      </w:tr>
    </w:tbl>
    <w:p>
      <w:pPr>
        <w:ind w:firstLine="560"/>
      </w:pPr>
      <w:r>
        <w:br w:type="page"/>
      </w:r>
    </w:p>
    <w:tbl>
      <w:tblPr>
        <w:tblStyle w:val="17"/>
        <w:tblW w:w="96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70"/>
        <w:gridCol w:w="1477"/>
        <w:gridCol w:w="992"/>
        <w:gridCol w:w="851"/>
        <w:gridCol w:w="960"/>
        <w:gridCol w:w="1166"/>
        <w:gridCol w:w="1134"/>
        <w:gridCol w:w="1134"/>
        <w:gridCol w:w="85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9638" w:type="dxa"/>
            <w:gridSpan w:val="9"/>
            <w:vAlign w:val="center"/>
          </w:tcPr>
          <w:p>
            <w:pPr>
              <w:pStyle w:val="41"/>
              <w:rPr>
                <w:color w:val="auto"/>
                <w:lang w:eastAsia="zh-CN"/>
              </w:rPr>
            </w:pPr>
            <w:r>
              <w:rPr>
                <w:lang w:eastAsia="zh-CN"/>
              </w:rPr>
              <w:br w:type="page"/>
            </w:r>
            <w:r>
              <w:rPr>
                <w:rFonts w:hint="eastAsia"/>
                <w:color w:val="auto"/>
                <w:lang w:eastAsia="zh-CN"/>
              </w:rPr>
              <w:t>知识产权（发明专利）和标准规范情况</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80" w:hRule="atLeast"/>
          <w:jc w:val="center"/>
        </w:trPr>
        <w:tc>
          <w:tcPr>
            <w:tcW w:w="1070" w:type="dxa"/>
            <w:vAlign w:val="center"/>
          </w:tcPr>
          <w:p>
            <w:pPr>
              <w:pStyle w:val="41"/>
              <w:rPr>
                <w:color w:val="auto"/>
                <w:lang w:eastAsia="zh-CN"/>
              </w:rPr>
            </w:pPr>
            <w:r>
              <w:rPr>
                <w:color w:val="auto"/>
                <w:lang w:eastAsia="zh-CN"/>
              </w:rPr>
              <w:t>知识产权</w:t>
            </w:r>
            <w:r>
              <w:rPr>
                <w:rFonts w:hint="eastAsia"/>
                <w:color w:val="auto"/>
                <w:lang w:eastAsia="zh-CN"/>
              </w:rPr>
              <w:t>（标准）</w:t>
            </w:r>
            <w:r>
              <w:rPr>
                <w:color w:val="auto"/>
                <w:lang w:eastAsia="zh-CN"/>
              </w:rPr>
              <w:t>类别</w:t>
            </w:r>
          </w:p>
        </w:tc>
        <w:tc>
          <w:tcPr>
            <w:tcW w:w="1477" w:type="dxa"/>
            <w:vAlign w:val="center"/>
          </w:tcPr>
          <w:p>
            <w:pPr>
              <w:pStyle w:val="41"/>
              <w:rPr>
                <w:color w:val="auto"/>
                <w:lang w:eastAsia="zh-CN"/>
              </w:rPr>
            </w:pPr>
            <w:r>
              <w:rPr>
                <w:rFonts w:hint="eastAsia"/>
                <w:color w:val="auto"/>
                <w:lang w:eastAsia="zh-CN"/>
              </w:rPr>
              <w:t>知识产权（标准）具体</w:t>
            </w:r>
            <w:r>
              <w:rPr>
                <w:color w:val="auto"/>
                <w:lang w:eastAsia="zh-CN"/>
              </w:rPr>
              <w:t>名称</w:t>
            </w:r>
          </w:p>
        </w:tc>
        <w:tc>
          <w:tcPr>
            <w:tcW w:w="992" w:type="dxa"/>
            <w:vAlign w:val="center"/>
          </w:tcPr>
          <w:p>
            <w:pPr>
              <w:pStyle w:val="41"/>
              <w:rPr>
                <w:color w:val="auto"/>
              </w:rPr>
            </w:pPr>
            <w:r>
              <w:rPr>
                <w:color w:val="auto"/>
              </w:rPr>
              <w:t>国</w:t>
            </w:r>
            <w:r>
              <w:rPr>
                <w:rFonts w:hint="eastAsia"/>
                <w:color w:val="auto"/>
              </w:rPr>
              <w:t>家</w:t>
            </w:r>
          </w:p>
          <w:p>
            <w:pPr>
              <w:pStyle w:val="41"/>
              <w:rPr>
                <w:color w:val="auto"/>
              </w:rPr>
            </w:pPr>
            <w:r>
              <w:rPr>
                <w:color w:val="auto"/>
              </w:rPr>
              <w:t>（</w:t>
            </w:r>
            <w:r>
              <w:rPr>
                <w:rFonts w:hint="eastAsia"/>
                <w:color w:val="auto"/>
              </w:rPr>
              <w:t>地</w:t>
            </w:r>
            <w:r>
              <w:rPr>
                <w:color w:val="auto"/>
              </w:rPr>
              <w:t>区）</w:t>
            </w:r>
          </w:p>
        </w:tc>
        <w:tc>
          <w:tcPr>
            <w:tcW w:w="851" w:type="dxa"/>
            <w:vAlign w:val="center"/>
          </w:tcPr>
          <w:p>
            <w:pPr>
              <w:pStyle w:val="41"/>
              <w:rPr>
                <w:color w:val="auto"/>
              </w:rPr>
            </w:pPr>
            <w:r>
              <w:rPr>
                <w:rFonts w:hint="eastAsia"/>
                <w:color w:val="auto"/>
              </w:rPr>
              <w:t>授权号（标准编号）</w:t>
            </w:r>
          </w:p>
        </w:tc>
        <w:tc>
          <w:tcPr>
            <w:tcW w:w="960" w:type="dxa"/>
            <w:vAlign w:val="center"/>
          </w:tcPr>
          <w:p>
            <w:pPr>
              <w:pStyle w:val="41"/>
              <w:rPr>
                <w:color w:val="auto"/>
                <w:lang w:eastAsia="zh-CN"/>
              </w:rPr>
            </w:pPr>
            <w:r>
              <w:rPr>
                <w:rFonts w:hint="eastAsia"/>
                <w:color w:val="auto"/>
                <w:lang w:eastAsia="zh-CN"/>
              </w:rPr>
              <w:t>授权（标准发布）日期</w:t>
            </w:r>
          </w:p>
        </w:tc>
        <w:tc>
          <w:tcPr>
            <w:tcW w:w="1166" w:type="dxa"/>
            <w:vAlign w:val="center"/>
          </w:tcPr>
          <w:p>
            <w:pPr>
              <w:pStyle w:val="41"/>
              <w:rPr>
                <w:color w:val="auto"/>
                <w:lang w:eastAsia="zh-CN"/>
              </w:rPr>
            </w:pPr>
            <w:r>
              <w:rPr>
                <w:rFonts w:hint="eastAsia"/>
                <w:color w:val="auto"/>
                <w:lang w:eastAsia="zh-CN"/>
              </w:rPr>
              <w:t>证书编号（标准批准发布</w:t>
            </w:r>
            <w:r>
              <w:rPr>
                <w:color w:val="auto"/>
                <w:lang w:eastAsia="zh-CN"/>
              </w:rPr>
              <w:t>部门</w:t>
            </w:r>
            <w:r>
              <w:rPr>
                <w:rFonts w:hint="eastAsia"/>
                <w:color w:val="auto"/>
                <w:lang w:eastAsia="zh-CN"/>
              </w:rPr>
              <w:t>）</w:t>
            </w:r>
          </w:p>
        </w:tc>
        <w:tc>
          <w:tcPr>
            <w:tcW w:w="1134" w:type="dxa"/>
            <w:vAlign w:val="center"/>
          </w:tcPr>
          <w:p>
            <w:pPr>
              <w:pStyle w:val="41"/>
              <w:rPr>
                <w:color w:val="auto"/>
                <w:lang w:eastAsia="zh-CN"/>
              </w:rPr>
            </w:pPr>
            <w:r>
              <w:rPr>
                <w:rFonts w:hint="eastAsia"/>
                <w:color w:val="auto"/>
                <w:lang w:eastAsia="zh-CN"/>
              </w:rPr>
              <w:t>权利人（标准起草单位）</w:t>
            </w:r>
          </w:p>
        </w:tc>
        <w:tc>
          <w:tcPr>
            <w:tcW w:w="1134" w:type="dxa"/>
            <w:vAlign w:val="center"/>
          </w:tcPr>
          <w:p>
            <w:pPr>
              <w:pStyle w:val="41"/>
              <w:rPr>
                <w:color w:val="auto"/>
                <w:lang w:eastAsia="zh-CN"/>
              </w:rPr>
            </w:pPr>
            <w:r>
              <w:rPr>
                <w:rFonts w:hint="eastAsia"/>
                <w:color w:val="auto"/>
                <w:lang w:eastAsia="zh-CN"/>
              </w:rPr>
              <w:t>发明人（标准起草人）</w:t>
            </w:r>
          </w:p>
        </w:tc>
        <w:tc>
          <w:tcPr>
            <w:tcW w:w="854" w:type="dxa"/>
            <w:vAlign w:val="center"/>
          </w:tcPr>
          <w:p>
            <w:pPr>
              <w:pStyle w:val="41"/>
              <w:rPr>
                <w:color w:val="auto"/>
                <w:lang w:eastAsia="zh-CN"/>
              </w:rPr>
            </w:pPr>
            <w:r>
              <w:rPr>
                <w:rFonts w:hint="eastAsia"/>
                <w:color w:val="auto"/>
                <w:lang w:eastAsia="zh-CN"/>
              </w:rPr>
              <w:t>发明专利（标准）有效状态</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专利</w:t>
            </w:r>
          </w:p>
        </w:tc>
        <w:tc>
          <w:tcPr>
            <w:tcW w:w="1477" w:type="dxa"/>
            <w:vAlign w:val="center"/>
          </w:tcPr>
          <w:p>
            <w:pPr>
              <w:pStyle w:val="41"/>
              <w:rPr>
                <w:color w:val="auto"/>
                <w:lang w:eastAsia="zh-CN"/>
              </w:rPr>
            </w:pPr>
            <w:r>
              <w:rPr>
                <w:rFonts w:hint="eastAsia"/>
                <w:lang w:eastAsia="zh-CN"/>
              </w:rPr>
              <w:t>一种微生物电化学法修复场地污染物的装置及方法</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r>
              <w:rPr>
                <w:rFonts w:hint="eastAsia"/>
              </w:rPr>
              <w:t>Z</w:t>
            </w:r>
            <w:r>
              <w:t>L 2018 1 0397610.8</w:t>
            </w:r>
          </w:p>
        </w:tc>
        <w:tc>
          <w:tcPr>
            <w:tcW w:w="960" w:type="dxa"/>
            <w:vAlign w:val="center"/>
          </w:tcPr>
          <w:p>
            <w:pPr>
              <w:pStyle w:val="41"/>
              <w:rPr>
                <w:color w:val="auto"/>
                <w:lang w:eastAsia="zh-CN"/>
              </w:rPr>
            </w:pPr>
            <w:r>
              <w:rPr>
                <w:rFonts w:hint="eastAsia"/>
              </w:rPr>
              <w:t>2</w:t>
            </w:r>
            <w:r>
              <w:t>022.07.22</w:t>
            </w:r>
          </w:p>
        </w:tc>
        <w:tc>
          <w:tcPr>
            <w:tcW w:w="1166" w:type="dxa"/>
            <w:vAlign w:val="center"/>
          </w:tcPr>
          <w:p>
            <w:pPr>
              <w:pStyle w:val="41"/>
              <w:rPr>
                <w:color w:val="auto"/>
                <w:lang w:eastAsia="zh-CN"/>
              </w:rPr>
            </w:pPr>
          </w:p>
        </w:tc>
        <w:tc>
          <w:tcPr>
            <w:tcW w:w="1134" w:type="dxa"/>
            <w:vAlign w:val="center"/>
          </w:tcPr>
          <w:p>
            <w:pPr>
              <w:pStyle w:val="41"/>
              <w:rPr>
                <w:color w:val="auto"/>
                <w:lang w:eastAsia="zh-CN"/>
              </w:rPr>
            </w:pPr>
          </w:p>
        </w:tc>
        <w:tc>
          <w:tcPr>
            <w:tcW w:w="1134" w:type="dxa"/>
            <w:vAlign w:val="center"/>
          </w:tcPr>
          <w:p>
            <w:pPr>
              <w:pStyle w:val="41"/>
              <w:rPr>
                <w:color w:val="auto"/>
                <w:lang w:eastAsia="zh-CN"/>
              </w:rPr>
            </w:pPr>
            <w:r>
              <w:rPr>
                <w:rFonts w:hint="eastAsia"/>
              </w:rPr>
              <w:t>吴义诚、吴欣</w:t>
            </w:r>
          </w:p>
        </w:tc>
        <w:tc>
          <w:tcPr>
            <w:tcW w:w="854" w:type="dxa"/>
            <w:vAlign w:val="center"/>
          </w:tcPr>
          <w:p>
            <w:pPr>
              <w:pStyle w:val="41"/>
              <w:rPr>
                <w:color w:val="auto"/>
                <w:lang w:eastAsia="zh-CN"/>
              </w:rPr>
            </w:pPr>
            <w:r>
              <w:rPr>
                <w:rFonts w:hint="eastAsia"/>
                <w:lang w:eastAsia="zh-CN"/>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软著</w:t>
            </w:r>
          </w:p>
        </w:tc>
        <w:tc>
          <w:tcPr>
            <w:tcW w:w="1477" w:type="dxa"/>
            <w:vAlign w:val="center"/>
          </w:tcPr>
          <w:p>
            <w:pPr>
              <w:pStyle w:val="41"/>
              <w:rPr>
                <w:color w:val="auto"/>
                <w:lang w:eastAsia="zh-CN"/>
              </w:rPr>
            </w:pPr>
            <w:r>
              <w:rPr>
                <w:rFonts w:hint="eastAsia"/>
                <w:lang w:eastAsia="zh-CN"/>
              </w:rPr>
              <w:t>智慧排水信息管理系统V</w:t>
            </w:r>
            <w:r>
              <w:rPr>
                <w:lang w:eastAsia="zh-CN"/>
              </w:rPr>
              <w:t>1.0</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r>
              <w:rPr>
                <w:rFonts w:hint="eastAsia"/>
              </w:rPr>
              <w:t>软著登字第5</w:t>
            </w:r>
            <w:r>
              <w:t>566536</w:t>
            </w:r>
            <w:r>
              <w:rPr>
                <w:rFonts w:hint="eastAsia"/>
              </w:rPr>
              <w:t>号</w:t>
            </w:r>
          </w:p>
        </w:tc>
        <w:tc>
          <w:tcPr>
            <w:tcW w:w="960" w:type="dxa"/>
            <w:vAlign w:val="center"/>
          </w:tcPr>
          <w:p>
            <w:pPr>
              <w:pStyle w:val="41"/>
              <w:rPr>
                <w:color w:val="auto"/>
                <w:lang w:eastAsia="zh-CN"/>
              </w:rPr>
            </w:pPr>
            <w:r>
              <w:rPr>
                <w:rFonts w:hint="eastAsia"/>
              </w:rPr>
              <w:t>2</w:t>
            </w:r>
            <w:r>
              <w:t>020.6.29</w:t>
            </w:r>
          </w:p>
        </w:tc>
        <w:tc>
          <w:tcPr>
            <w:tcW w:w="1166" w:type="dxa"/>
            <w:vAlign w:val="center"/>
          </w:tcPr>
          <w:p>
            <w:pPr>
              <w:pStyle w:val="41"/>
              <w:rPr>
                <w:color w:val="auto"/>
                <w:lang w:eastAsia="zh-CN"/>
              </w:rPr>
            </w:pPr>
          </w:p>
        </w:tc>
        <w:tc>
          <w:tcPr>
            <w:tcW w:w="1134" w:type="dxa"/>
            <w:vAlign w:val="center"/>
          </w:tcPr>
          <w:p>
            <w:pPr>
              <w:pStyle w:val="41"/>
              <w:rPr>
                <w:color w:val="auto"/>
                <w:lang w:eastAsia="zh-CN"/>
              </w:rPr>
            </w:pPr>
          </w:p>
        </w:tc>
        <w:tc>
          <w:tcPr>
            <w:tcW w:w="1134" w:type="dxa"/>
            <w:vAlign w:val="center"/>
          </w:tcPr>
          <w:p>
            <w:pPr>
              <w:pStyle w:val="41"/>
              <w:rPr>
                <w:color w:val="auto"/>
                <w:lang w:eastAsia="zh-CN"/>
              </w:rPr>
            </w:pPr>
            <w:r>
              <w:rPr>
                <w:rFonts w:hint="eastAsia"/>
                <w:lang w:eastAsia="zh-CN"/>
              </w:rPr>
              <w:t>厦门智研晨图科技有限公司</w:t>
            </w:r>
          </w:p>
        </w:tc>
        <w:tc>
          <w:tcPr>
            <w:tcW w:w="854" w:type="dxa"/>
            <w:vAlign w:val="center"/>
          </w:tcPr>
          <w:p>
            <w:pPr>
              <w:pStyle w:val="41"/>
              <w:rPr>
                <w:color w:val="auto"/>
                <w:lang w:eastAsia="zh-CN"/>
              </w:rPr>
            </w:pPr>
            <w:r>
              <w:rPr>
                <w:rFonts w:hint="eastAsia"/>
                <w:lang w:eastAsia="zh-CN"/>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软著</w:t>
            </w:r>
          </w:p>
        </w:tc>
        <w:tc>
          <w:tcPr>
            <w:tcW w:w="1477" w:type="dxa"/>
            <w:vAlign w:val="center"/>
          </w:tcPr>
          <w:p>
            <w:pPr>
              <w:pStyle w:val="41"/>
              <w:rPr>
                <w:color w:val="auto"/>
                <w:lang w:eastAsia="zh-CN"/>
              </w:rPr>
            </w:pPr>
            <w:r>
              <w:rPr>
                <w:rFonts w:hint="eastAsia"/>
                <w:lang w:eastAsia="zh-CN"/>
              </w:rPr>
              <w:t>智慧水务地理信息系统V</w:t>
            </w:r>
            <w:r>
              <w:rPr>
                <w:lang w:eastAsia="zh-CN"/>
              </w:rPr>
              <w:t>1.0</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r>
              <w:rPr>
                <w:rFonts w:hint="eastAsia"/>
              </w:rPr>
              <w:t>软著登字第</w:t>
            </w:r>
            <w:r>
              <w:t>5799128</w:t>
            </w:r>
            <w:r>
              <w:rPr>
                <w:rFonts w:hint="eastAsia"/>
              </w:rPr>
              <w:t>号</w:t>
            </w:r>
          </w:p>
        </w:tc>
        <w:tc>
          <w:tcPr>
            <w:tcW w:w="960" w:type="dxa"/>
            <w:vAlign w:val="center"/>
          </w:tcPr>
          <w:p>
            <w:pPr>
              <w:pStyle w:val="41"/>
              <w:rPr>
                <w:color w:val="auto"/>
                <w:lang w:eastAsia="zh-CN"/>
              </w:rPr>
            </w:pPr>
            <w:r>
              <w:rPr>
                <w:rFonts w:hint="eastAsia"/>
              </w:rPr>
              <w:t>2</w:t>
            </w:r>
            <w:r>
              <w:t>020.8.13</w:t>
            </w:r>
          </w:p>
        </w:tc>
        <w:tc>
          <w:tcPr>
            <w:tcW w:w="1166" w:type="dxa"/>
            <w:vAlign w:val="center"/>
          </w:tcPr>
          <w:p>
            <w:pPr>
              <w:pStyle w:val="41"/>
              <w:rPr>
                <w:color w:val="auto"/>
                <w:lang w:eastAsia="zh-CN"/>
              </w:rPr>
            </w:pPr>
          </w:p>
        </w:tc>
        <w:tc>
          <w:tcPr>
            <w:tcW w:w="1134" w:type="dxa"/>
            <w:vAlign w:val="center"/>
          </w:tcPr>
          <w:p>
            <w:pPr>
              <w:pStyle w:val="41"/>
              <w:rPr>
                <w:color w:val="auto"/>
                <w:lang w:eastAsia="zh-CN"/>
              </w:rPr>
            </w:pPr>
          </w:p>
        </w:tc>
        <w:tc>
          <w:tcPr>
            <w:tcW w:w="1134" w:type="dxa"/>
            <w:vAlign w:val="center"/>
          </w:tcPr>
          <w:p>
            <w:pPr>
              <w:pStyle w:val="41"/>
              <w:rPr>
                <w:color w:val="auto"/>
                <w:lang w:eastAsia="zh-CN"/>
              </w:rPr>
            </w:pPr>
            <w:r>
              <w:rPr>
                <w:rFonts w:hint="eastAsia"/>
                <w:lang w:eastAsia="zh-CN"/>
              </w:rPr>
              <w:t>厦门智研晨图科技有限公司</w:t>
            </w:r>
          </w:p>
        </w:tc>
        <w:tc>
          <w:tcPr>
            <w:tcW w:w="854" w:type="dxa"/>
            <w:vAlign w:val="center"/>
          </w:tcPr>
          <w:p>
            <w:pPr>
              <w:pStyle w:val="41"/>
              <w:rPr>
                <w:color w:val="auto"/>
                <w:lang w:eastAsia="zh-CN"/>
              </w:rPr>
            </w:pPr>
            <w:r>
              <w:rPr>
                <w:rFonts w:hint="eastAsia"/>
                <w:lang w:eastAsia="zh-CN"/>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软著</w:t>
            </w:r>
          </w:p>
        </w:tc>
        <w:tc>
          <w:tcPr>
            <w:tcW w:w="1477" w:type="dxa"/>
            <w:vAlign w:val="center"/>
          </w:tcPr>
          <w:p>
            <w:pPr>
              <w:pStyle w:val="41"/>
              <w:rPr>
                <w:color w:val="auto"/>
                <w:lang w:eastAsia="zh-CN"/>
              </w:rPr>
            </w:pPr>
            <w:r>
              <w:rPr>
                <w:rFonts w:hint="eastAsia"/>
                <w:lang w:eastAsia="zh-CN"/>
              </w:rPr>
              <w:t>液位传感器远程监测系统V</w:t>
            </w:r>
            <w:r>
              <w:rPr>
                <w:lang w:eastAsia="zh-CN"/>
              </w:rPr>
              <w:t>1.0</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r>
              <w:rPr>
                <w:rFonts w:hint="eastAsia"/>
              </w:rPr>
              <w:t>软著登字第</w:t>
            </w:r>
            <w:r>
              <w:t>6810884</w:t>
            </w:r>
            <w:r>
              <w:rPr>
                <w:rFonts w:hint="eastAsia"/>
              </w:rPr>
              <w:t>号</w:t>
            </w:r>
          </w:p>
        </w:tc>
        <w:tc>
          <w:tcPr>
            <w:tcW w:w="960" w:type="dxa"/>
            <w:vAlign w:val="center"/>
          </w:tcPr>
          <w:p>
            <w:pPr>
              <w:pStyle w:val="41"/>
              <w:rPr>
                <w:color w:val="auto"/>
                <w:lang w:eastAsia="zh-CN"/>
              </w:rPr>
            </w:pPr>
            <w:r>
              <w:rPr>
                <w:rFonts w:hint="eastAsia"/>
              </w:rPr>
              <w:t>2</w:t>
            </w:r>
            <w:r>
              <w:t>021.01.15</w:t>
            </w:r>
          </w:p>
        </w:tc>
        <w:tc>
          <w:tcPr>
            <w:tcW w:w="1166" w:type="dxa"/>
            <w:vAlign w:val="center"/>
          </w:tcPr>
          <w:p>
            <w:pPr>
              <w:pStyle w:val="41"/>
              <w:rPr>
                <w:color w:val="auto"/>
                <w:lang w:eastAsia="zh-CN"/>
              </w:rPr>
            </w:pPr>
          </w:p>
        </w:tc>
        <w:tc>
          <w:tcPr>
            <w:tcW w:w="1134" w:type="dxa"/>
            <w:vAlign w:val="center"/>
          </w:tcPr>
          <w:p>
            <w:pPr>
              <w:pStyle w:val="41"/>
              <w:rPr>
                <w:color w:val="auto"/>
                <w:lang w:eastAsia="zh-CN"/>
              </w:rPr>
            </w:pPr>
          </w:p>
        </w:tc>
        <w:tc>
          <w:tcPr>
            <w:tcW w:w="1134" w:type="dxa"/>
            <w:vAlign w:val="center"/>
          </w:tcPr>
          <w:p>
            <w:pPr>
              <w:pStyle w:val="41"/>
              <w:rPr>
                <w:color w:val="auto"/>
                <w:lang w:eastAsia="zh-CN"/>
              </w:rPr>
            </w:pPr>
            <w:r>
              <w:rPr>
                <w:rFonts w:hint="eastAsia"/>
                <w:lang w:eastAsia="zh-CN"/>
              </w:rPr>
              <w:t>厦门智研晨图科技有限公司</w:t>
            </w:r>
          </w:p>
        </w:tc>
        <w:tc>
          <w:tcPr>
            <w:tcW w:w="854" w:type="dxa"/>
            <w:vAlign w:val="center"/>
          </w:tcPr>
          <w:p>
            <w:pPr>
              <w:pStyle w:val="41"/>
              <w:rPr>
                <w:color w:val="auto"/>
                <w:lang w:eastAsia="zh-CN"/>
              </w:rPr>
            </w:pPr>
            <w:r>
              <w:rPr>
                <w:rFonts w:hint="eastAsia"/>
                <w:lang w:eastAsia="zh-CN"/>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标准规范</w:t>
            </w:r>
          </w:p>
        </w:tc>
        <w:tc>
          <w:tcPr>
            <w:tcW w:w="1477" w:type="dxa"/>
            <w:vAlign w:val="center"/>
          </w:tcPr>
          <w:p>
            <w:pPr>
              <w:pStyle w:val="41"/>
              <w:rPr>
                <w:color w:val="auto"/>
                <w:lang w:eastAsia="zh-CN"/>
              </w:rPr>
            </w:pPr>
            <w:r>
              <w:rPr>
                <w:rFonts w:hint="eastAsia"/>
                <w:lang w:eastAsia="zh-CN"/>
              </w:rPr>
              <w:t>福建省城镇排水设施数据采集与信息管理技术标准</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r>
              <w:rPr>
                <w:rFonts w:hint="eastAsia"/>
              </w:rPr>
              <w:t>D</w:t>
            </w:r>
            <w:r>
              <w:t>BJ/T 13-440-2023</w:t>
            </w:r>
          </w:p>
        </w:tc>
        <w:tc>
          <w:tcPr>
            <w:tcW w:w="960" w:type="dxa"/>
            <w:vAlign w:val="center"/>
          </w:tcPr>
          <w:p>
            <w:pPr>
              <w:pStyle w:val="41"/>
              <w:rPr>
                <w:color w:val="auto"/>
                <w:lang w:eastAsia="zh-CN"/>
              </w:rPr>
            </w:pPr>
            <w:r>
              <w:rPr>
                <w:rFonts w:hint="eastAsia"/>
              </w:rPr>
              <w:t>2</w:t>
            </w:r>
            <w:r>
              <w:t>023.12.29</w:t>
            </w:r>
          </w:p>
        </w:tc>
        <w:tc>
          <w:tcPr>
            <w:tcW w:w="1166" w:type="dxa"/>
            <w:vAlign w:val="center"/>
          </w:tcPr>
          <w:p>
            <w:pPr>
              <w:pStyle w:val="41"/>
              <w:rPr>
                <w:color w:val="auto"/>
                <w:lang w:eastAsia="zh-CN"/>
              </w:rPr>
            </w:pPr>
          </w:p>
        </w:tc>
        <w:tc>
          <w:tcPr>
            <w:tcW w:w="1134" w:type="dxa"/>
            <w:vAlign w:val="center"/>
          </w:tcPr>
          <w:p>
            <w:pPr>
              <w:pStyle w:val="41"/>
              <w:rPr>
                <w:color w:val="auto"/>
                <w:lang w:eastAsia="zh-CN"/>
              </w:rPr>
            </w:pPr>
            <w:r>
              <w:rPr>
                <w:rFonts w:hint="eastAsia"/>
                <w:lang w:eastAsia="zh-CN"/>
              </w:rPr>
              <w:t>福建省住房和城乡建设厅</w:t>
            </w:r>
          </w:p>
        </w:tc>
        <w:tc>
          <w:tcPr>
            <w:tcW w:w="1134" w:type="dxa"/>
            <w:vAlign w:val="center"/>
          </w:tcPr>
          <w:p>
            <w:pPr>
              <w:pStyle w:val="41"/>
              <w:rPr>
                <w:color w:val="auto"/>
                <w:lang w:eastAsia="zh-CN"/>
              </w:rPr>
            </w:pPr>
            <w:r>
              <w:rPr>
                <w:rFonts w:hint="eastAsia"/>
              </w:rPr>
              <w:t>林中奇、陈彪、王宁</w:t>
            </w:r>
          </w:p>
        </w:tc>
        <w:tc>
          <w:tcPr>
            <w:tcW w:w="854" w:type="dxa"/>
            <w:vAlign w:val="center"/>
          </w:tcPr>
          <w:p>
            <w:pPr>
              <w:pStyle w:val="41"/>
              <w:rPr>
                <w:color w:val="auto"/>
                <w:lang w:eastAsia="zh-CN"/>
              </w:rPr>
            </w:pPr>
            <w:r>
              <w:rPr>
                <w:rFonts w:hint="eastAsia"/>
                <w:lang w:eastAsia="zh-CN"/>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论文</w:t>
            </w:r>
          </w:p>
        </w:tc>
        <w:tc>
          <w:tcPr>
            <w:tcW w:w="1477" w:type="dxa"/>
            <w:vAlign w:val="center"/>
          </w:tcPr>
          <w:p>
            <w:pPr>
              <w:pStyle w:val="41"/>
              <w:rPr>
                <w:color w:val="auto"/>
                <w:lang w:eastAsia="zh-CN"/>
              </w:rPr>
            </w:pPr>
            <w:r>
              <w:rPr>
                <w:rFonts w:hint="eastAsia"/>
                <w:lang w:eastAsia="zh-CN"/>
              </w:rPr>
              <w:t>厦门市农村生活污水全链条治理模式研究</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p>
        </w:tc>
        <w:tc>
          <w:tcPr>
            <w:tcW w:w="960" w:type="dxa"/>
            <w:vAlign w:val="center"/>
          </w:tcPr>
          <w:p>
            <w:pPr>
              <w:pStyle w:val="41"/>
              <w:rPr>
                <w:color w:val="auto"/>
                <w:lang w:eastAsia="zh-CN"/>
              </w:rPr>
            </w:pPr>
            <w:r>
              <w:rPr>
                <w:rFonts w:hint="eastAsia"/>
              </w:rPr>
              <w:t>2</w:t>
            </w:r>
            <w:r>
              <w:t>024</w:t>
            </w:r>
            <w:r>
              <w:rPr>
                <w:rFonts w:hint="eastAsia"/>
              </w:rPr>
              <w:t>年第1</w:t>
            </w:r>
            <w:r>
              <w:t>2</w:t>
            </w:r>
            <w:r>
              <w:rPr>
                <w:rFonts w:hint="eastAsia"/>
              </w:rPr>
              <w:t>期</w:t>
            </w:r>
          </w:p>
        </w:tc>
        <w:tc>
          <w:tcPr>
            <w:tcW w:w="1166" w:type="dxa"/>
            <w:vAlign w:val="center"/>
          </w:tcPr>
          <w:p>
            <w:pPr>
              <w:pStyle w:val="41"/>
              <w:rPr>
                <w:color w:val="auto"/>
                <w:lang w:eastAsia="zh-CN"/>
              </w:rPr>
            </w:pPr>
            <w:r>
              <w:rPr>
                <w:rFonts w:hint="eastAsia"/>
              </w:rPr>
              <w:t>I</w:t>
            </w:r>
            <w:r>
              <w:t>SSN</w:t>
            </w:r>
            <w:r>
              <w:rPr>
                <w:rFonts w:hint="eastAsia"/>
              </w:rPr>
              <w:t>：</w:t>
            </w:r>
            <w:r>
              <w:t>1002-8471</w:t>
            </w:r>
          </w:p>
        </w:tc>
        <w:tc>
          <w:tcPr>
            <w:tcW w:w="1134" w:type="dxa"/>
            <w:vAlign w:val="center"/>
          </w:tcPr>
          <w:p>
            <w:pPr>
              <w:pStyle w:val="41"/>
              <w:rPr>
                <w:color w:val="auto"/>
                <w:lang w:eastAsia="zh-CN"/>
              </w:rPr>
            </w:pPr>
            <w:r>
              <w:rPr>
                <w:rFonts w:hint="eastAsia"/>
                <w:lang w:eastAsia="zh-CN"/>
              </w:rPr>
              <w:t>《给水排水》，</w:t>
            </w:r>
            <w:r>
              <w:rPr>
                <w:lang w:eastAsia="zh-CN"/>
              </w:rPr>
              <w:t>中华人民共和国住房和城乡建设部</w:t>
            </w:r>
          </w:p>
        </w:tc>
        <w:tc>
          <w:tcPr>
            <w:tcW w:w="1134" w:type="dxa"/>
            <w:vAlign w:val="center"/>
          </w:tcPr>
          <w:p>
            <w:pPr>
              <w:pStyle w:val="41"/>
              <w:rPr>
                <w:color w:val="auto"/>
                <w:lang w:eastAsia="zh-CN"/>
              </w:rPr>
            </w:pPr>
            <w:r>
              <w:rPr>
                <w:rFonts w:hint="eastAsia"/>
              </w:rPr>
              <w:t>林中奇</w:t>
            </w:r>
          </w:p>
        </w:tc>
        <w:tc>
          <w:tcPr>
            <w:tcW w:w="854" w:type="dxa"/>
            <w:vAlign w:val="center"/>
          </w:tcPr>
          <w:p>
            <w:pPr>
              <w:pStyle w:val="41"/>
              <w:rPr>
                <w:color w:val="auto"/>
                <w:lang w:eastAsia="zh-CN"/>
              </w:rPr>
            </w:pPr>
            <w:r>
              <w:rPr>
                <w:rFonts w:hint="eastAsia"/>
                <w:lang w:eastAsia="zh-CN"/>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论文</w:t>
            </w:r>
          </w:p>
        </w:tc>
        <w:tc>
          <w:tcPr>
            <w:tcW w:w="1477" w:type="dxa"/>
            <w:vAlign w:val="center"/>
          </w:tcPr>
          <w:p>
            <w:pPr>
              <w:pStyle w:val="41"/>
              <w:rPr>
                <w:color w:val="auto"/>
                <w:lang w:eastAsia="zh-CN"/>
              </w:rPr>
            </w:pPr>
            <w:r>
              <w:rPr>
                <w:rFonts w:hint="eastAsia"/>
                <w:lang w:eastAsia="zh-CN"/>
              </w:rPr>
              <w:t>高质量高标准建设背景下农村生活污水治理模式探讨</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p>
        </w:tc>
        <w:tc>
          <w:tcPr>
            <w:tcW w:w="960" w:type="dxa"/>
            <w:vAlign w:val="center"/>
          </w:tcPr>
          <w:p>
            <w:pPr>
              <w:pStyle w:val="41"/>
              <w:rPr>
                <w:color w:val="auto"/>
                <w:lang w:eastAsia="zh-CN"/>
              </w:rPr>
            </w:pPr>
            <w:r>
              <w:rPr>
                <w:rFonts w:hint="eastAsia"/>
              </w:rPr>
              <w:t>2</w:t>
            </w:r>
            <w:r>
              <w:t>022</w:t>
            </w:r>
            <w:r>
              <w:rPr>
                <w:rFonts w:hint="eastAsia"/>
              </w:rPr>
              <w:t>年第</w:t>
            </w:r>
            <w:r>
              <w:t>3</w:t>
            </w:r>
            <w:r>
              <w:rPr>
                <w:rFonts w:hint="eastAsia"/>
              </w:rPr>
              <w:t>期</w:t>
            </w:r>
          </w:p>
        </w:tc>
        <w:tc>
          <w:tcPr>
            <w:tcW w:w="1166" w:type="dxa"/>
            <w:vAlign w:val="center"/>
          </w:tcPr>
          <w:p>
            <w:pPr>
              <w:pStyle w:val="41"/>
              <w:rPr>
                <w:color w:val="auto"/>
                <w:lang w:eastAsia="zh-CN"/>
              </w:rPr>
            </w:pPr>
            <w:r>
              <w:rPr>
                <w:rFonts w:hint="eastAsia"/>
              </w:rPr>
              <w:t>I</w:t>
            </w:r>
            <w:r>
              <w:t>SSN</w:t>
            </w:r>
            <w:r>
              <w:rPr>
                <w:rFonts w:hint="eastAsia"/>
              </w:rPr>
              <w:t>：</w:t>
            </w:r>
            <w:r>
              <w:t>1002-8471</w:t>
            </w:r>
          </w:p>
        </w:tc>
        <w:tc>
          <w:tcPr>
            <w:tcW w:w="1134" w:type="dxa"/>
            <w:vAlign w:val="center"/>
          </w:tcPr>
          <w:p>
            <w:pPr>
              <w:pStyle w:val="41"/>
              <w:rPr>
                <w:color w:val="auto"/>
                <w:lang w:eastAsia="zh-CN"/>
              </w:rPr>
            </w:pPr>
            <w:r>
              <w:rPr>
                <w:rFonts w:hint="eastAsia"/>
                <w:lang w:eastAsia="zh-CN"/>
              </w:rPr>
              <w:t>《给水排水》，</w:t>
            </w:r>
            <w:r>
              <w:rPr>
                <w:lang w:eastAsia="zh-CN"/>
              </w:rPr>
              <w:t>中华人民共和国住房和城乡建设部</w:t>
            </w:r>
          </w:p>
        </w:tc>
        <w:tc>
          <w:tcPr>
            <w:tcW w:w="1134" w:type="dxa"/>
            <w:vAlign w:val="center"/>
          </w:tcPr>
          <w:p>
            <w:pPr>
              <w:spacing w:line="360" w:lineRule="exact"/>
              <w:jc w:val="left"/>
              <w:rPr>
                <w:rFonts w:ascii="宋体" w:hAnsi="宋体"/>
              </w:rPr>
            </w:pPr>
            <w:r>
              <w:rPr>
                <w:rFonts w:hint="eastAsia" w:eastAsia="宋体" w:cs="宋体"/>
                <w:szCs w:val="21"/>
              </w:rPr>
              <w:t>陈秀丽</w:t>
            </w:r>
          </w:p>
        </w:tc>
        <w:tc>
          <w:tcPr>
            <w:tcW w:w="854" w:type="dxa"/>
            <w:vAlign w:val="center"/>
          </w:tcPr>
          <w:p>
            <w:pPr>
              <w:pStyle w:val="41"/>
              <w:rPr>
                <w:color w:val="auto"/>
                <w:lang w:eastAsia="zh-CN"/>
              </w:rPr>
            </w:pPr>
            <w:r>
              <w:rPr>
                <w:rFonts w:hint="eastAsia"/>
                <w:lang w:eastAsia="zh-CN"/>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论文</w:t>
            </w:r>
          </w:p>
        </w:tc>
        <w:tc>
          <w:tcPr>
            <w:tcW w:w="1477" w:type="dxa"/>
            <w:vAlign w:val="center"/>
          </w:tcPr>
          <w:p>
            <w:pPr>
              <w:pStyle w:val="41"/>
              <w:rPr>
                <w:color w:val="auto"/>
                <w:lang w:eastAsia="zh-CN"/>
              </w:rPr>
            </w:pPr>
            <w:r>
              <w:t>Optimization on structure and operation parameters of biofilter for decentralized sewage treatment</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p>
        </w:tc>
        <w:tc>
          <w:tcPr>
            <w:tcW w:w="960" w:type="dxa"/>
            <w:vAlign w:val="center"/>
          </w:tcPr>
          <w:p>
            <w:pPr>
              <w:pStyle w:val="41"/>
              <w:rPr>
                <w:color w:val="auto"/>
                <w:lang w:eastAsia="zh-CN"/>
              </w:rPr>
            </w:pPr>
            <w:r>
              <w:rPr>
                <w:rFonts w:hint="eastAsia"/>
              </w:rPr>
              <w:t>2</w:t>
            </w:r>
            <w:r>
              <w:t>023</w:t>
            </w:r>
            <w:r>
              <w:rPr>
                <w:rFonts w:hint="eastAsia"/>
              </w:rPr>
              <w:t>年</w:t>
            </w:r>
          </w:p>
        </w:tc>
        <w:tc>
          <w:tcPr>
            <w:tcW w:w="1166" w:type="dxa"/>
            <w:vAlign w:val="center"/>
          </w:tcPr>
          <w:p>
            <w:pPr>
              <w:pStyle w:val="41"/>
              <w:rPr>
                <w:color w:val="auto"/>
                <w:lang w:eastAsia="zh-CN"/>
              </w:rPr>
            </w:pPr>
            <w:r>
              <w:rPr>
                <w:rFonts w:hint="eastAsia"/>
              </w:rPr>
              <w:t>I</w:t>
            </w:r>
            <w:r>
              <w:t>SSN</w:t>
            </w:r>
            <w:r>
              <w:rPr>
                <w:rFonts w:hint="eastAsia"/>
              </w:rPr>
              <w:t>：</w:t>
            </w:r>
            <w:r>
              <w:t>0013-9351</w:t>
            </w:r>
          </w:p>
        </w:tc>
        <w:tc>
          <w:tcPr>
            <w:tcW w:w="1134" w:type="dxa"/>
            <w:vAlign w:val="center"/>
          </w:tcPr>
          <w:p>
            <w:pPr>
              <w:pStyle w:val="41"/>
              <w:rPr>
                <w:color w:val="auto"/>
                <w:lang w:eastAsia="zh-CN"/>
              </w:rPr>
            </w:pPr>
            <w:r>
              <w:rPr>
                <w:rFonts w:hint="eastAsia"/>
              </w:rPr>
              <w:t>《</w:t>
            </w:r>
            <w:r>
              <w:t>Environmental Research</w:t>
            </w:r>
            <w:r>
              <w:rPr>
                <w:rFonts w:hint="eastAsia"/>
              </w:rPr>
              <w:t>》</w:t>
            </w:r>
          </w:p>
        </w:tc>
        <w:tc>
          <w:tcPr>
            <w:tcW w:w="1134" w:type="dxa"/>
            <w:vAlign w:val="center"/>
          </w:tcPr>
          <w:p>
            <w:pPr>
              <w:pStyle w:val="41"/>
              <w:rPr>
                <w:color w:val="auto"/>
                <w:lang w:eastAsia="zh-CN"/>
              </w:rPr>
            </w:pPr>
            <w:r>
              <w:rPr>
                <w:rFonts w:hint="eastAsia"/>
              </w:rPr>
              <w:t>蔡文倩</w:t>
            </w:r>
          </w:p>
        </w:tc>
        <w:tc>
          <w:tcPr>
            <w:tcW w:w="854" w:type="dxa"/>
            <w:vAlign w:val="center"/>
          </w:tcPr>
          <w:p>
            <w:pPr>
              <w:pStyle w:val="41"/>
              <w:rPr>
                <w:color w:val="auto"/>
                <w:lang w:eastAsia="zh-CN"/>
              </w:rPr>
            </w:pPr>
            <w:r>
              <w:rPr>
                <w:rFonts w:hint="eastAsia"/>
                <w:lang w:eastAsia="zh-CN"/>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论文</w:t>
            </w:r>
          </w:p>
        </w:tc>
        <w:tc>
          <w:tcPr>
            <w:tcW w:w="1477" w:type="dxa"/>
            <w:vAlign w:val="center"/>
          </w:tcPr>
          <w:p>
            <w:pPr>
              <w:pStyle w:val="41"/>
              <w:rPr>
                <w:color w:val="auto"/>
                <w:lang w:eastAsia="zh-CN"/>
              </w:rPr>
            </w:pPr>
            <w:r>
              <w:rPr>
                <w:lang w:eastAsia="zh-CN"/>
              </w:rPr>
              <w:t>Zobellella iuensis sp. nov., an aerobic denitrifying bacterium isolated from activated sludge</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p>
        </w:tc>
        <w:tc>
          <w:tcPr>
            <w:tcW w:w="960" w:type="dxa"/>
            <w:vAlign w:val="center"/>
          </w:tcPr>
          <w:p>
            <w:pPr>
              <w:pStyle w:val="41"/>
              <w:rPr>
                <w:color w:val="auto"/>
                <w:lang w:eastAsia="zh-CN"/>
              </w:rPr>
            </w:pPr>
            <w:r>
              <w:t>2022</w:t>
            </w:r>
            <w:r>
              <w:rPr>
                <w:rFonts w:hint="eastAsia"/>
              </w:rPr>
              <w:t>年</w:t>
            </w:r>
          </w:p>
        </w:tc>
        <w:tc>
          <w:tcPr>
            <w:tcW w:w="1166" w:type="dxa"/>
            <w:vAlign w:val="center"/>
          </w:tcPr>
          <w:p>
            <w:pPr>
              <w:rPr>
                <w:rFonts w:ascii="Times New Roman" w:hAnsi="Times New Roman" w:eastAsia="宋体" w:cs="宋体"/>
                <w:color w:val="232323"/>
                <w:szCs w:val="21"/>
                <w:lang w:eastAsia="en-US"/>
              </w:rPr>
            </w:pPr>
            <w:r>
              <w:rPr>
                <w:rFonts w:ascii="Times New Roman" w:hAnsi="Times New Roman" w:eastAsia="宋体" w:cs="宋体"/>
                <w:color w:val="232323"/>
                <w:szCs w:val="21"/>
                <w:lang w:eastAsia="en-US"/>
              </w:rPr>
              <w:t>ISSN 1466-5026</w:t>
            </w:r>
          </w:p>
          <w:p>
            <w:pPr>
              <w:pStyle w:val="41"/>
              <w:rPr>
                <w:color w:val="auto"/>
                <w:lang w:eastAsia="zh-CN"/>
              </w:rPr>
            </w:pPr>
          </w:p>
        </w:tc>
        <w:tc>
          <w:tcPr>
            <w:tcW w:w="1134" w:type="dxa"/>
            <w:vAlign w:val="center"/>
          </w:tcPr>
          <w:p>
            <w:pPr>
              <w:pStyle w:val="41"/>
            </w:pPr>
            <w:r>
              <w:rPr>
                <w:rFonts w:hint="eastAsia"/>
              </w:rPr>
              <w:t>《</w:t>
            </w:r>
            <w:r>
              <w:t>International Journal of Systematic and Evolutionary Microbiology</w:t>
            </w:r>
          </w:p>
          <w:p>
            <w:pPr>
              <w:pStyle w:val="41"/>
              <w:rPr>
                <w:color w:val="auto"/>
                <w:lang w:eastAsia="zh-CN"/>
              </w:rPr>
            </w:pPr>
            <w:r>
              <w:rPr>
                <w:rFonts w:hint="eastAsia"/>
              </w:rPr>
              <w:t>》</w:t>
            </w:r>
          </w:p>
        </w:tc>
        <w:tc>
          <w:tcPr>
            <w:tcW w:w="1134" w:type="dxa"/>
            <w:vAlign w:val="center"/>
          </w:tcPr>
          <w:p>
            <w:pPr>
              <w:pStyle w:val="41"/>
              <w:rPr>
                <w:color w:val="auto"/>
                <w:lang w:eastAsia="zh-CN"/>
              </w:rPr>
            </w:pPr>
            <w:r>
              <w:rPr>
                <w:rFonts w:hint="eastAsia"/>
                <w:lang w:eastAsia="zh-CN"/>
              </w:rPr>
              <w:t>李姜维</w:t>
            </w:r>
          </w:p>
        </w:tc>
        <w:tc>
          <w:tcPr>
            <w:tcW w:w="854" w:type="dxa"/>
            <w:vAlign w:val="center"/>
          </w:tcPr>
          <w:p>
            <w:pPr>
              <w:pStyle w:val="41"/>
              <w:rPr>
                <w:color w:val="auto"/>
                <w:lang w:eastAsia="zh-CN"/>
              </w:rPr>
            </w:pPr>
            <w:r>
              <w:rPr>
                <w:rFonts w:hint="eastAsia"/>
                <w:lang w:eastAsia="zh-CN"/>
              </w:rPr>
              <w:t>有效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070" w:type="dxa"/>
            <w:vAlign w:val="center"/>
          </w:tcPr>
          <w:p>
            <w:pPr>
              <w:pStyle w:val="41"/>
              <w:rPr>
                <w:color w:val="auto"/>
                <w:lang w:eastAsia="zh-CN"/>
              </w:rPr>
            </w:pPr>
            <w:r>
              <w:rPr>
                <w:rFonts w:hint="eastAsia"/>
              </w:rPr>
              <w:t>论文</w:t>
            </w:r>
          </w:p>
        </w:tc>
        <w:tc>
          <w:tcPr>
            <w:tcW w:w="1477" w:type="dxa"/>
            <w:vAlign w:val="center"/>
          </w:tcPr>
          <w:p>
            <w:pPr>
              <w:spacing w:line="360" w:lineRule="exact"/>
              <w:jc w:val="center"/>
              <w:rPr>
                <w:rFonts w:eastAsia="宋体" w:cs="宋体"/>
                <w:szCs w:val="21"/>
              </w:rPr>
            </w:pPr>
            <w:r>
              <w:rPr>
                <w:rFonts w:hint="eastAsia" w:eastAsia="宋体" w:cs="宋体"/>
                <w:szCs w:val="21"/>
              </w:rPr>
              <w:t>纳米氧化铝-</w:t>
            </w:r>
          </w:p>
          <w:p>
            <w:pPr>
              <w:pStyle w:val="41"/>
              <w:rPr>
                <w:color w:val="auto"/>
                <w:lang w:eastAsia="zh-CN"/>
              </w:rPr>
            </w:pPr>
            <w:r>
              <w:rPr>
                <w:rFonts w:hint="eastAsia"/>
                <w:lang w:eastAsia="zh-CN"/>
              </w:rPr>
              <w:t>海藻酸钠联合固定化小球藻去除水中总磷</w:t>
            </w:r>
          </w:p>
        </w:tc>
        <w:tc>
          <w:tcPr>
            <w:tcW w:w="992" w:type="dxa"/>
            <w:vAlign w:val="center"/>
          </w:tcPr>
          <w:p>
            <w:pPr>
              <w:pStyle w:val="41"/>
              <w:rPr>
                <w:color w:val="auto"/>
                <w:lang w:eastAsia="zh-CN"/>
              </w:rPr>
            </w:pPr>
            <w:r>
              <w:rPr>
                <w:rFonts w:hint="eastAsia"/>
              </w:rPr>
              <w:t>中国</w:t>
            </w:r>
          </w:p>
        </w:tc>
        <w:tc>
          <w:tcPr>
            <w:tcW w:w="851" w:type="dxa"/>
            <w:vAlign w:val="center"/>
          </w:tcPr>
          <w:p>
            <w:pPr>
              <w:pStyle w:val="41"/>
              <w:rPr>
                <w:color w:val="auto"/>
                <w:lang w:eastAsia="zh-CN"/>
              </w:rPr>
            </w:pPr>
          </w:p>
        </w:tc>
        <w:tc>
          <w:tcPr>
            <w:tcW w:w="960" w:type="dxa"/>
            <w:vAlign w:val="center"/>
          </w:tcPr>
          <w:p>
            <w:pPr>
              <w:pStyle w:val="41"/>
              <w:rPr>
                <w:color w:val="auto"/>
                <w:lang w:eastAsia="zh-CN"/>
              </w:rPr>
            </w:pPr>
            <w:r>
              <w:rPr>
                <w:rFonts w:hint="eastAsia"/>
              </w:rPr>
              <w:t>2</w:t>
            </w:r>
            <w:r>
              <w:t>020</w:t>
            </w:r>
            <w:r>
              <w:rPr>
                <w:rFonts w:hint="eastAsia"/>
              </w:rPr>
              <w:t>年第</w:t>
            </w:r>
            <w:r>
              <w:t>21</w:t>
            </w:r>
            <w:r>
              <w:rPr>
                <w:rFonts w:hint="eastAsia"/>
              </w:rPr>
              <w:t>期</w:t>
            </w:r>
          </w:p>
        </w:tc>
        <w:tc>
          <w:tcPr>
            <w:tcW w:w="1166" w:type="dxa"/>
            <w:vAlign w:val="center"/>
          </w:tcPr>
          <w:p>
            <w:pPr>
              <w:pStyle w:val="41"/>
              <w:rPr>
                <w:color w:val="auto"/>
                <w:lang w:eastAsia="zh-CN"/>
              </w:rPr>
            </w:pPr>
            <w:r>
              <w:t>ISSN</w:t>
            </w:r>
            <w:r>
              <w:rPr>
                <w:rFonts w:hint="eastAsia"/>
              </w:rPr>
              <w:t>：</w:t>
            </w:r>
            <w:r>
              <w:t>1000-4602</w:t>
            </w:r>
          </w:p>
        </w:tc>
        <w:tc>
          <w:tcPr>
            <w:tcW w:w="1134" w:type="dxa"/>
            <w:vAlign w:val="center"/>
          </w:tcPr>
          <w:p>
            <w:pPr>
              <w:pStyle w:val="41"/>
              <w:rPr>
                <w:color w:val="auto"/>
                <w:lang w:eastAsia="zh-CN"/>
              </w:rPr>
            </w:pPr>
            <w:r>
              <w:rPr>
                <w:rFonts w:hint="eastAsia"/>
                <w:lang w:eastAsia="zh-CN"/>
              </w:rPr>
              <w:t>《中国给水排水》，</w:t>
            </w:r>
            <w:r>
              <w:rPr>
                <w:lang w:eastAsia="zh-CN"/>
              </w:rPr>
              <w:t>中华人民共和国住房和城乡建设部</w:t>
            </w:r>
          </w:p>
        </w:tc>
        <w:tc>
          <w:tcPr>
            <w:tcW w:w="1134" w:type="dxa"/>
            <w:vAlign w:val="center"/>
          </w:tcPr>
          <w:p>
            <w:pPr>
              <w:pStyle w:val="41"/>
              <w:rPr>
                <w:color w:val="auto"/>
                <w:lang w:eastAsia="zh-CN"/>
              </w:rPr>
            </w:pPr>
            <w:r>
              <w:rPr>
                <w:rFonts w:hint="eastAsia"/>
              </w:rPr>
              <w:t>吴义诚</w:t>
            </w:r>
          </w:p>
        </w:tc>
        <w:tc>
          <w:tcPr>
            <w:tcW w:w="854" w:type="dxa"/>
            <w:vAlign w:val="center"/>
          </w:tcPr>
          <w:p>
            <w:pPr>
              <w:pStyle w:val="41"/>
              <w:rPr>
                <w:color w:val="auto"/>
                <w:lang w:eastAsia="zh-CN"/>
              </w:rPr>
            </w:pPr>
            <w:r>
              <w:rPr>
                <w:rFonts w:hint="eastAsia"/>
                <w:lang w:eastAsia="zh-CN"/>
              </w:rPr>
              <w:t>有效</w:t>
            </w:r>
          </w:p>
        </w:tc>
      </w:tr>
    </w:tbl>
    <w:p>
      <w:pPr>
        <w:spacing w:line="360" w:lineRule="auto"/>
        <w:jc w:val="left"/>
        <w:rPr>
          <w:rFonts w:ascii="仿宋_GB2312" w:hAnsi="宋体" w:eastAsia="仿宋_GB2312"/>
          <w:sz w:val="30"/>
          <w:szCs w:val="30"/>
        </w:rPr>
      </w:pPr>
    </w:p>
    <w:p>
      <w:pPr>
        <w:widowControl/>
        <w:jc w:val="left"/>
        <w:rPr>
          <w:rFonts w:ascii="仿宋_GB2312" w:hAnsi="华文仿宋" w:eastAsia="仿宋_GB2312" w:cs="Times New Roman"/>
          <w:spacing w:val="-4"/>
          <w:sz w:val="32"/>
          <w:szCs w:val="32"/>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5778F0A6-69A2-40AE-A29A-0109FF0F77AB}"/>
  </w:font>
  <w:font w:name="Arial">
    <w:panose1 w:val="020B0604020202020204"/>
    <w:charset w:val="01"/>
    <w:family w:val="swiss"/>
    <w:pitch w:val="default"/>
    <w:sig w:usb0="E0002EFF" w:usb1="C000785B" w:usb2="00000009" w:usb3="00000000" w:csb0="400001FF" w:csb1="FFFF0000"/>
    <w:embedRegular r:id="rId2" w:fontKey="{422E8074-F5FA-4C2B-A9BC-C419636D6C99}"/>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4B5EF94B-15D8-4945-9DA2-BD8772E467F2}"/>
  </w:font>
  <w:font w:name="Symbol">
    <w:panose1 w:val="05050102010706020507"/>
    <w:charset w:val="02"/>
    <w:family w:val="roman"/>
    <w:pitch w:val="default"/>
    <w:sig w:usb0="00000000" w:usb1="00000000" w:usb2="00000000" w:usb3="00000000" w:csb0="80000000" w:csb1="00000000"/>
    <w:embedRegular r:id="rId4" w:fontKey="{9F51DFE5-CFE7-4ACA-A018-B3DF5EDB99F7}"/>
  </w:font>
  <w:font w:name="Calibri">
    <w:panose1 w:val="020F0502020204030204"/>
    <w:charset w:val="00"/>
    <w:family w:val="swiss"/>
    <w:pitch w:val="default"/>
    <w:sig w:usb0="E4002EFF" w:usb1="C200247B" w:usb2="00000009" w:usb3="00000000" w:csb0="200001FF" w:csb1="00000000"/>
    <w:embedRegular r:id="rId5" w:fontKey="{025F72A9-F3DE-45FA-870D-BAC695E3245E}"/>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font>
  <w:font w:name="仿宋_GB2312">
    <w:panose1 w:val="02010609030101010101"/>
    <w:charset w:val="86"/>
    <w:family w:val="modern"/>
    <w:pitch w:val="default"/>
    <w:sig w:usb0="00000000" w:usb1="00000000" w:usb2="00000000" w:usb3="00000000" w:csb0="00000000" w:csb1="00000000"/>
    <w:embedRegular r:id="rId6" w:fontKey="{C731032F-777C-48CD-8C0C-84C2C3CBE4E7}"/>
  </w:font>
  <w:font w:name="华文仿宋">
    <w:panose1 w:val="02010600040101010101"/>
    <w:charset w:val="86"/>
    <w:family w:val="auto"/>
    <w:pitch w:val="default"/>
    <w:sig w:usb0="00000287" w:usb1="080F0000" w:usb2="00000000" w:usb3="00000000" w:csb0="0004009F" w:csb1="DFD70000"/>
    <w:embedRegular r:id="rId7" w:fontKey="{746CA2E6-E243-4BCA-AF58-C92F1E57D33C}"/>
  </w:font>
  <w:font w:name="华文中宋">
    <w:panose1 w:val="02010600040101010101"/>
    <w:charset w:val="86"/>
    <w:family w:val="auto"/>
    <w:pitch w:val="default"/>
    <w:sig w:usb0="00000287" w:usb1="080F0000" w:usb2="00000000" w:usb3="00000000" w:csb0="0004009F" w:csb1="DFD70000"/>
    <w:embedRegular r:id="rId8" w:fontKey="{E66BDADA-708B-40E4-AFAE-ECA2BEF16DC9}"/>
  </w:font>
  <w:font w:name="微软雅黑">
    <w:panose1 w:val="020B0503020204020204"/>
    <w:charset w:val="86"/>
    <w:family w:val="auto"/>
    <w:pitch w:val="default"/>
    <w:sig w:usb0="80000287" w:usb1="2ACF3C50" w:usb2="00000016" w:usb3="00000000" w:csb0="0004001F" w:csb1="00000000"/>
  </w:font>
  <w:font w:name="Tahoma">
    <w:panose1 w:val="020B0604030504040204"/>
    <w:charset w:val="00"/>
    <w:family w:val="auto"/>
    <w:pitch w:val="default"/>
    <w:sig w:usb0="E1002EFF" w:usb1="C000605B" w:usb2="00000029" w:usb3="00000000" w:csb0="200101FF" w:csb1="20280000"/>
    <w:embedRegular r:id="rId9" w:fontKey="{0AFB9FDD-C1E5-4A1C-BB2D-50F2C3EC1C68}"/>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70"/>
  <w:embedTrueType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62A56"/>
    <w:rsid w:val="001549A3"/>
    <w:rsid w:val="001B6A98"/>
    <w:rsid w:val="001C4FB9"/>
    <w:rsid w:val="0026701C"/>
    <w:rsid w:val="002F4F19"/>
    <w:rsid w:val="003159E9"/>
    <w:rsid w:val="0038231E"/>
    <w:rsid w:val="003D327F"/>
    <w:rsid w:val="004371CA"/>
    <w:rsid w:val="004621C0"/>
    <w:rsid w:val="00462A56"/>
    <w:rsid w:val="0046367B"/>
    <w:rsid w:val="00500935"/>
    <w:rsid w:val="005273BF"/>
    <w:rsid w:val="0053666E"/>
    <w:rsid w:val="005702AF"/>
    <w:rsid w:val="005F5182"/>
    <w:rsid w:val="005F7474"/>
    <w:rsid w:val="00677499"/>
    <w:rsid w:val="007F501C"/>
    <w:rsid w:val="0081530E"/>
    <w:rsid w:val="008B5E16"/>
    <w:rsid w:val="008F6411"/>
    <w:rsid w:val="00904F48"/>
    <w:rsid w:val="00934078"/>
    <w:rsid w:val="00946BCA"/>
    <w:rsid w:val="00963A30"/>
    <w:rsid w:val="009716DE"/>
    <w:rsid w:val="00980B24"/>
    <w:rsid w:val="00B75ED8"/>
    <w:rsid w:val="00B87A63"/>
    <w:rsid w:val="00B95D7D"/>
    <w:rsid w:val="00B96CE6"/>
    <w:rsid w:val="00BB1672"/>
    <w:rsid w:val="00BD3228"/>
    <w:rsid w:val="00D71A18"/>
    <w:rsid w:val="00E0751E"/>
    <w:rsid w:val="00E119DF"/>
    <w:rsid w:val="00EA1FC9"/>
    <w:rsid w:val="00EA6A69"/>
    <w:rsid w:val="00F015CB"/>
    <w:rsid w:val="00F85215"/>
    <w:rsid w:val="00FA2634"/>
    <w:rsid w:val="00FD0AB6"/>
    <w:rsid w:val="0D8A1AA7"/>
    <w:rsid w:val="139A5FD3"/>
    <w:rsid w:val="2A881F73"/>
    <w:rsid w:val="2E860C87"/>
    <w:rsid w:val="63AE1B64"/>
    <w:rsid w:val="66D954FB"/>
    <w:rsid w:val="706B142B"/>
    <w:rsid w:val="751562F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qFormat="1" w:unhideWhenUsed="0" w:uiPriority="30" w:semiHidden="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0"/>
    <w:qFormat/>
    <w:uiPriority w:val="9"/>
    <w:pPr>
      <w:keepNext/>
      <w:keepLines/>
      <w:spacing w:before="480" w:after="80"/>
      <w:outlineLvl w:val="0"/>
    </w:pPr>
    <w:rPr>
      <w:rFonts w:asciiTheme="majorHAnsi" w:hAnsiTheme="majorHAnsi" w:eastAsiaTheme="majorEastAsia" w:cstheme="majorBidi"/>
      <w:color w:val="104862" w:themeColor="accent1" w:themeShade="BF"/>
      <w:sz w:val="48"/>
      <w:szCs w:val="48"/>
    </w:rPr>
  </w:style>
  <w:style w:type="paragraph" w:styleId="3">
    <w:name w:val="heading 2"/>
    <w:basedOn w:val="1"/>
    <w:next w:val="1"/>
    <w:link w:val="21"/>
    <w:semiHidden/>
    <w:unhideWhenUsed/>
    <w:qFormat/>
    <w:uiPriority w:val="9"/>
    <w:pPr>
      <w:keepNext/>
      <w:keepLines/>
      <w:spacing w:before="160" w:after="80"/>
      <w:outlineLvl w:val="1"/>
    </w:pPr>
    <w:rPr>
      <w:rFonts w:asciiTheme="majorHAnsi" w:hAnsiTheme="majorHAnsi" w:eastAsiaTheme="majorEastAsia" w:cstheme="majorBidi"/>
      <w:color w:val="104862" w:themeColor="accent1" w:themeShade="BF"/>
      <w:sz w:val="40"/>
      <w:szCs w:val="40"/>
    </w:rPr>
  </w:style>
  <w:style w:type="paragraph" w:styleId="4">
    <w:name w:val="heading 3"/>
    <w:basedOn w:val="1"/>
    <w:next w:val="1"/>
    <w:link w:val="22"/>
    <w:semiHidden/>
    <w:unhideWhenUsed/>
    <w:qFormat/>
    <w:uiPriority w:val="9"/>
    <w:pPr>
      <w:keepNext/>
      <w:keepLines/>
      <w:spacing w:before="160" w:after="80"/>
      <w:outlineLvl w:val="2"/>
    </w:pPr>
    <w:rPr>
      <w:rFonts w:asciiTheme="majorHAnsi" w:hAnsiTheme="majorHAnsi" w:eastAsiaTheme="majorEastAsia" w:cstheme="majorBidi"/>
      <w:color w:val="104862" w:themeColor="accent1" w:themeShade="BF"/>
      <w:sz w:val="32"/>
      <w:szCs w:val="32"/>
    </w:rPr>
  </w:style>
  <w:style w:type="paragraph" w:styleId="5">
    <w:name w:val="heading 4"/>
    <w:basedOn w:val="1"/>
    <w:next w:val="1"/>
    <w:link w:val="23"/>
    <w:semiHidden/>
    <w:unhideWhenUsed/>
    <w:qFormat/>
    <w:uiPriority w:val="9"/>
    <w:pPr>
      <w:keepNext/>
      <w:keepLines/>
      <w:spacing w:before="80" w:after="40"/>
      <w:outlineLvl w:val="3"/>
    </w:pPr>
    <w:rPr>
      <w:rFonts w:cstheme="majorBidi"/>
      <w:color w:val="104862" w:themeColor="accent1" w:themeShade="BF"/>
      <w:sz w:val="28"/>
      <w:szCs w:val="28"/>
    </w:rPr>
  </w:style>
  <w:style w:type="paragraph" w:styleId="6">
    <w:name w:val="heading 5"/>
    <w:basedOn w:val="1"/>
    <w:next w:val="1"/>
    <w:link w:val="24"/>
    <w:semiHidden/>
    <w:unhideWhenUsed/>
    <w:qFormat/>
    <w:uiPriority w:val="9"/>
    <w:pPr>
      <w:keepNext/>
      <w:keepLines/>
      <w:spacing w:before="80" w:after="40"/>
      <w:outlineLvl w:val="4"/>
    </w:pPr>
    <w:rPr>
      <w:rFonts w:cstheme="majorBidi"/>
      <w:color w:val="104862" w:themeColor="accent1" w:themeShade="BF"/>
      <w:sz w:val="24"/>
      <w:szCs w:val="24"/>
    </w:rPr>
  </w:style>
  <w:style w:type="paragraph" w:styleId="7">
    <w:name w:val="heading 6"/>
    <w:basedOn w:val="1"/>
    <w:next w:val="1"/>
    <w:link w:val="25"/>
    <w:semiHidden/>
    <w:unhideWhenUsed/>
    <w:qFormat/>
    <w:uiPriority w:val="9"/>
    <w:pPr>
      <w:keepNext/>
      <w:keepLines/>
      <w:spacing w:before="40"/>
      <w:outlineLvl w:val="5"/>
    </w:pPr>
    <w:rPr>
      <w:rFonts w:cstheme="majorBidi"/>
      <w:b/>
      <w:bCs/>
      <w:color w:val="104862" w:themeColor="accent1" w:themeShade="BF"/>
    </w:rPr>
  </w:style>
  <w:style w:type="paragraph" w:styleId="8">
    <w:name w:val="heading 7"/>
    <w:basedOn w:val="1"/>
    <w:next w:val="1"/>
    <w:link w:val="26"/>
    <w:semiHidden/>
    <w:unhideWhenUsed/>
    <w:qFormat/>
    <w:uiPriority w:val="9"/>
    <w:pPr>
      <w:keepNext/>
      <w:keepLines/>
      <w:spacing w:before="40"/>
      <w:outlineLvl w:val="6"/>
    </w:pPr>
    <w:rPr>
      <w:rFonts w:cstheme="majorBidi"/>
      <w:b/>
      <w:bCs/>
      <w:color w:val="595959" w:themeColor="text1" w:themeTint="A6"/>
      <w14:textFill>
        <w14:solidFill>
          <w14:schemeClr w14:val="tx1">
            <w14:lumMod w14:val="65000"/>
            <w14:lumOff w14:val="35000"/>
          </w14:schemeClr>
        </w14:solidFill>
      </w14:textFill>
    </w:rPr>
  </w:style>
  <w:style w:type="paragraph" w:styleId="9">
    <w:name w:val="heading 8"/>
    <w:basedOn w:val="1"/>
    <w:next w:val="1"/>
    <w:link w:val="27"/>
    <w:semiHidden/>
    <w:unhideWhenUsed/>
    <w:qFormat/>
    <w:uiPriority w:val="9"/>
    <w:pPr>
      <w:keepNext/>
      <w:keepLines/>
      <w:outlineLvl w:val="7"/>
    </w:pPr>
    <w:rPr>
      <w:rFonts w:cstheme="majorBidi"/>
      <w:color w:val="595959" w:themeColor="text1" w:themeTint="A6"/>
      <w14:textFill>
        <w14:solidFill>
          <w14:schemeClr w14:val="tx1">
            <w14:lumMod w14:val="65000"/>
            <w14:lumOff w14:val="35000"/>
          </w14:schemeClr>
        </w14:solidFill>
      </w14:textFill>
    </w:rPr>
  </w:style>
  <w:style w:type="paragraph" w:styleId="10">
    <w:name w:val="heading 9"/>
    <w:basedOn w:val="1"/>
    <w:next w:val="1"/>
    <w:link w:val="28"/>
    <w:semiHidden/>
    <w:unhideWhenUsed/>
    <w:qFormat/>
    <w:uiPriority w:val="9"/>
    <w:pPr>
      <w:keepNext/>
      <w:keepLines/>
      <w:outlineLvl w:val="8"/>
    </w:pPr>
    <w:rPr>
      <w:rFonts w:eastAsiaTheme="majorEastAsia" w:cstheme="majorBidi"/>
      <w:color w:val="595959" w:themeColor="text1" w:themeTint="A6"/>
      <w14:textFill>
        <w14:solidFill>
          <w14:schemeClr w14:val="tx1">
            <w14:lumMod w14:val="65000"/>
            <w14:lumOff w14:val="35000"/>
          </w14:schemeClr>
        </w14:solidFill>
      </w14:textFill>
    </w:rPr>
  </w:style>
  <w:style w:type="character" w:default="1" w:styleId="18">
    <w:name w:val="Default Paragraph Font"/>
    <w:semiHidden/>
    <w:unhideWhenUsed/>
    <w:qFormat/>
    <w:uiPriority w:val="1"/>
  </w:style>
  <w:style w:type="table" w:default="1" w:styleId="17">
    <w:name w:val="Normal Table"/>
    <w:semiHidden/>
    <w:unhideWhenUsed/>
    <w:qFormat/>
    <w:uiPriority w:val="99"/>
    <w:tblPr>
      <w:tblCellMar>
        <w:top w:w="0" w:type="dxa"/>
        <w:left w:w="108" w:type="dxa"/>
        <w:bottom w:w="0" w:type="dxa"/>
        <w:right w:w="108" w:type="dxa"/>
      </w:tblCellMar>
    </w:tblPr>
  </w:style>
  <w:style w:type="paragraph" w:styleId="11">
    <w:name w:val="Date"/>
    <w:basedOn w:val="1"/>
    <w:next w:val="1"/>
    <w:link w:val="40"/>
    <w:semiHidden/>
    <w:unhideWhenUsed/>
    <w:qFormat/>
    <w:uiPriority w:val="99"/>
    <w:pPr>
      <w:ind w:left="100" w:leftChars="2500"/>
    </w:pPr>
  </w:style>
  <w:style w:type="paragraph" w:styleId="12">
    <w:name w:val="footer"/>
    <w:basedOn w:val="1"/>
    <w:link w:val="39"/>
    <w:unhideWhenUsed/>
    <w:qFormat/>
    <w:uiPriority w:val="99"/>
    <w:pPr>
      <w:tabs>
        <w:tab w:val="center" w:pos="4153"/>
        <w:tab w:val="right" w:pos="8306"/>
      </w:tabs>
      <w:snapToGrid w:val="0"/>
      <w:jc w:val="left"/>
    </w:pPr>
    <w:rPr>
      <w:sz w:val="18"/>
      <w:szCs w:val="18"/>
    </w:rPr>
  </w:style>
  <w:style w:type="paragraph" w:styleId="13">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14">
    <w:name w:val="Subtitle"/>
    <w:basedOn w:val="1"/>
    <w:next w:val="1"/>
    <w:link w:val="30"/>
    <w:qFormat/>
    <w:uiPriority w:val="11"/>
    <w:pPr>
      <w:spacing w:after="160"/>
      <w:jc w:val="center"/>
    </w:pPr>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15">
    <w:name w:val="Normal (Web)"/>
    <w:basedOn w:val="1"/>
    <w:semiHidden/>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16">
    <w:name w:val="Title"/>
    <w:basedOn w:val="1"/>
    <w:next w:val="1"/>
    <w:link w:val="29"/>
    <w:qFormat/>
    <w:uiPriority w:val="0"/>
    <w:pPr>
      <w:spacing w:after="80"/>
      <w:contextualSpacing/>
      <w:jc w:val="center"/>
    </w:pPr>
    <w:rPr>
      <w:rFonts w:asciiTheme="majorHAnsi" w:hAnsiTheme="majorHAnsi" w:eastAsiaTheme="majorEastAsia" w:cstheme="majorBidi"/>
      <w:spacing w:val="-10"/>
      <w:kern w:val="28"/>
      <w:sz w:val="56"/>
      <w:szCs w:val="56"/>
    </w:rPr>
  </w:style>
  <w:style w:type="character" w:styleId="19">
    <w:name w:val="Strong"/>
    <w:basedOn w:val="18"/>
    <w:qFormat/>
    <w:uiPriority w:val="22"/>
    <w:rPr>
      <w:b/>
    </w:rPr>
  </w:style>
  <w:style w:type="character" w:customStyle="1" w:styleId="20">
    <w:name w:val="标题 1 字符"/>
    <w:basedOn w:val="18"/>
    <w:link w:val="2"/>
    <w:qFormat/>
    <w:uiPriority w:val="9"/>
    <w:rPr>
      <w:rFonts w:asciiTheme="majorHAnsi" w:hAnsiTheme="majorHAnsi" w:eastAsiaTheme="majorEastAsia" w:cstheme="majorBidi"/>
      <w:color w:val="104862" w:themeColor="accent1" w:themeShade="BF"/>
      <w:sz w:val="48"/>
      <w:szCs w:val="48"/>
    </w:rPr>
  </w:style>
  <w:style w:type="character" w:customStyle="1" w:styleId="21">
    <w:name w:val="标题 2 字符"/>
    <w:basedOn w:val="18"/>
    <w:link w:val="3"/>
    <w:semiHidden/>
    <w:qFormat/>
    <w:uiPriority w:val="9"/>
    <w:rPr>
      <w:rFonts w:asciiTheme="majorHAnsi" w:hAnsiTheme="majorHAnsi" w:eastAsiaTheme="majorEastAsia" w:cstheme="majorBidi"/>
      <w:color w:val="104862" w:themeColor="accent1" w:themeShade="BF"/>
      <w:sz w:val="40"/>
      <w:szCs w:val="40"/>
    </w:rPr>
  </w:style>
  <w:style w:type="character" w:customStyle="1" w:styleId="22">
    <w:name w:val="标题 3 字符"/>
    <w:basedOn w:val="18"/>
    <w:link w:val="4"/>
    <w:semiHidden/>
    <w:qFormat/>
    <w:uiPriority w:val="9"/>
    <w:rPr>
      <w:rFonts w:asciiTheme="majorHAnsi" w:hAnsiTheme="majorHAnsi" w:eastAsiaTheme="majorEastAsia" w:cstheme="majorBidi"/>
      <w:color w:val="104862" w:themeColor="accent1" w:themeShade="BF"/>
      <w:sz w:val="32"/>
      <w:szCs w:val="32"/>
    </w:rPr>
  </w:style>
  <w:style w:type="character" w:customStyle="1" w:styleId="23">
    <w:name w:val="标题 4 字符"/>
    <w:basedOn w:val="18"/>
    <w:link w:val="5"/>
    <w:semiHidden/>
    <w:qFormat/>
    <w:uiPriority w:val="9"/>
    <w:rPr>
      <w:rFonts w:cstheme="majorBidi"/>
      <w:color w:val="104862" w:themeColor="accent1" w:themeShade="BF"/>
      <w:sz w:val="28"/>
      <w:szCs w:val="28"/>
    </w:rPr>
  </w:style>
  <w:style w:type="character" w:customStyle="1" w:styleId="24">
    <w:name w:val="标题 5 字符"/>
    <w:basedOn w:val="18"/>
    <w:link w:val="6"/>
    <w:semiHidden/>
    <w:qFormat/>
    <w:uiPriority w:val="9"/>
    <w:rPr>
      <w:rFonts w:cstheme="majorBidi"/>
      <w:color w:val="104862" w:themeColor="accent1" w:themeShade="BF"/>
      <w:sz w:val="24"/>
      <w:szCs w:val="24"/>
    </w:rPr>
  </w:style>
  <w:style w:type="character" w:customStyle="1" w:styleId="25">
    <w:name w:val="标题 6 字符"/>
    <w:basedOn w:val="18"/>
    <w:link w:val="7"/>
    <w:semiHidden/>
    <w:qFormat/>
    <w:uiPriority w:val="9"/>
    <w:rPr>
      <w:rFonts w:cstheme="majorBidi"/>
      <w:b/>
      <w:bCs/>
      <w:color w:val="104862" w:themeColor="accent1" w:themeShade="BF"/>
    </w:rPr>
  </w:style>
  <w:style w:type="character" w:customStyle="1" w:styleId="26">
    <w:name w:val="标题 7 字符"/>
    <w:basedOn w:val="18"/>
    <w:link w:val="8"/>
    <w:semiHidden/>
    <w:qFormat/>
    <w:uiPriority w:val="9"/>
    <w:rPr>
      <w:rFonts w:cstheme="majorBidi"/>
      <w:b/>
      <w:bCs/>
      <w:color w:val="595959" w:themeColor="text1" w:themeTint="A6"/>
      <w14:textFill>
        <w14:solidFill>
          <w14:schemeClr w14:val="tx1">
            <w14:lumMod w14:val="65000"/>
            <w14:lumOff w14:val="35000"/>
          </w14:schemeClr>
        </w14:solidFill>
      </w14:textFill>
    </w:rPr>
  </w:style>
  <w:style w:type="character" w:customStyle="1" w:styleId="27">
    <w:name w:val="标题 8 字符"/>
    <w:basedOn w:val="18"/>
    <w:link w:val="9"/>
    <w:semiHidden/>
    <w:qFormat/>
    <w:uiPriority w:val="9"/>
    <w:rPr>
      <w:rFonts w:cstheme="majorBidi"/>
      <w:color w:val="595959" w:themeColor="text1" w:themeTint="A6"/>
      <w14:textFill>
        <w14:solidFill>
          <w14:schemeClr w14:val="tx1">
            <w14:lumMod w14:val="65000"/>
            <w14:lumOff w14:val="35000"/>
          </w14:schemeClr>
        </w14:solidFill>
      </w14:textFill>
    </w:rPr>
  </w:style>
  <w:style w:type="character" w:customStyle="1" w:styleId="28">
    <w:name w:val="标题 9 字符"/>
    <w:basedOn w:val="18"/>
    <w:link w:val="10"/>
    <w:semiHidden/>
    <w:qFormat/>
    <w:uiPriority w:val="9"/>
    <w:rPr>
      <w:rFonts w:eastAsiaTheme="majorEastAsia" w:cstheme="majorBidi"/>
      <w:color w:val="595959" w:themeColor="text1" w:themeTint="A6"/>
      <w14:textFill>
        <w14:solidFill>
          <w14:schemeClr w14:val="tx1">
            <w14:lumMod w14:val="65000"/>
            <w14:lumOff w14:val="35000"/>
          </w14:schemeClr>
        </w14:solidFill>
      </w14:textFill>
    </w:rPr>
  </w:style>
  <w:style w:type="character" w:customStyle="1" w:styleId="29">
    <w:name w:val="标题 字符"/>
    <w:basedOn w:val="18"/>
    <w:link w:val="16"/>
    <w:qFormat/>
    <w:uiPriority w:val="0"/>
    <w:rPr>
      <w:rFonts w:asciiTheme="majorHAnsi" w:hAnsiTheme="majorHAnsi" w:eastAsiaTheme="majorEastAsia" w:cstheme="majorBidi"/>
      <w:spacing w:val="-10"/>
      <w:kern w:val="28"/>
      <w:sz w:val="56"/>
      <w:szCs w:val="56"/>
    </w:rPr>
  </w:style>
  <w:style w:type="character" w:customStyle="1" w:styleId="30">
    <w:name w:val="副标题 字符"/>
    <w:basedOn w:val="18"/>
    <w:link w:val="14"/>
    <w:qFormat/>
    <w:uiPriority w:val="11"/>
    <w:rPr>
      <w:rFonts w:asciiTheme="majorHAnsi" w:hAnsiTheme="majorHAnsi" w:eastAsiaTheme="majorEastAsia" w:cstheme="majorBidi"/>
      <w:color w:val="595959" w:themeColor="text1" w:themeTint="A6"/>
      <w:spacing w:val="15"/>
      <w:sz w:val="28"/>
      <w:szCs w:val="28"/>
      <w14:textFill>
        <w14:solidFill>
          <w14:schemeClr w14:val="tx1">
            <w14:lumMod w14:val="65000"/>
            <w14:lumOff w14:val="35000"/>
          </w14:schemeClr>
        </w14:solidFill>
      </w14:textFill>
    </w:rPr>
  </w:style>
  <w:style w:type="paragraph" w:styleId="31">
    <w:name w:val="Quote"/>
    <w:basedOn w:val="1"/>
    <w:next w:val="1"/>
    <w:link w:val="32"/>
    <w:qFormat/>
    <w:uiPriority w:val="29"/>
    <w:pPr>
      <w:spacing w:before="160" w:after="160"/>
      <w:jc w:val="center"/>
    </w:pPr>
    <w:rPr>
      <w:i/>
      <w:iCs/>
      <w:color w:val="404040" w:themeColor="text1" w:themeTint="BF"/>
      <w14:textFill>
        <w14:solidFill>
          <w14:schemeClr w14:val="tx1">
            <w14:lumMod w14:val="75000"/>
            <w14:lumOff w14:val="25000"/>
          </w14:schemeClr>
        </w14:solidFill>
      </w14:textFill>
    </w:rPr>
  </w:style>
  <w:style w:type="character" w:customStyle="1" w:styleId="32">
    <w:name w:val="引用 字符"/>
    <w:basedOn w:val="18"/>
    <w:link w:val="31"/>
    <w:qFormat/>
    <w:uiPriority w:val="29"/>
    <w:rPr>
      <w:i/>
      <w:iCs/>
      <w:color w:val="404040" w:themeColor="text1" w:themeTint="BF"/>
      <w14:textFill>
        <w14:solidFill>
          <w14:schemeClr w14:val="tx1">
            <w14:lumMod w14:val="75000"/>
            <w14:lumOff w14:val="25000"/>
          </w14:schemeClr>
        </w14:solidFill>
      </w14:textFill>
    </w:rPr>
  </w:style>
  <w:style w:type="paragraph" w:styleId="33">
    <w:name w:val="List Paragraph"/>
    <w:basedOn w:val="1"/>
    <w:qFormat/>
    <w:uiPriority w:val="34"/>
    <w:pPr>
      <w:ind w:left="720"/>
      <w:contextualSpacing/>
    </w:pPr>
  </w:style>
  <w:style w:type="character" w:customStyle="1" w:styleId="34">
    <w:name w:val="明显强调1"/>
    <w:basedOn w:val="18"/>
    <w:qFormat/>
    <w:uiPriority w:val="21"/>
    <w:rPr>
      <w:i/>
      <w:iCs/>
      <w:color w:val="104862" w:themeColor="accent1" w:themeShade="BF"/>
    </w:rPr>
  </w:style>
  <w:style w:type="paragraph" w:styleId="35">
    <w:name w:val="Intense Quote"/>
    <w:basedOn w:val="1"/>
    <w:next w:val="1"/>
    <w:link w:val="36"/>
    <w:qFormat/>
    <w:uiPriority w:val="30"/>
    <w:pPr>
      <w:pBdr>
        <w:top w:val="single" w:color="0F4761" w:themeColor="accent1" w:themeShade="BF" w:sz="4" w:space="10"/>
        <w:bottom w:val="single" w:color="0F4761" w:themeColor="accent1" w:themeShade="BF" w:sz="4" w:space="10"/>
      </w:pBdr>
      <w:spacing w:before="360" w:after="360"/>
      <w:ind w:left="864" w:right="864"/>
      <w:jc w:val="center"/>
    </w:pPr>
    <w:rPr>
      <w:i/>
      <w:iCs/>
      <w:color w:val="104862" w:themeColor="accent1" w:themeShade="BF"/>
    </w:rPr>
  </w:style>
  <w:style w:type="character" w:customStyle="1" w:styleId="36">
    <w:name w:val="明显引用 字符"/>
    <w:basedOn w:val="18"/>
    <w:link w:val="35"/>
    <w:qFormat/>
    <w:uiPriority w:val="30"/>
    <w:rPr>
      <w:i/>
      <w:iCs/>
      <w:color w:val="104862" w:themeColor="accent1" w:themeShade="BF"/>
    </w:rPr>
  </w:style>
  <w:style w:type="character" w:customStyle="1" w:styleId="37">
    <w:name w:val="明显参考1"/>
    <w:basedOn w:val="18"/>
    <w:qFormat/>
    <w:uiPriority w:val="32"/>
    <w:rPr>
      <w:b/>
      <w:bCs/>
      <w:smallCaps/>
      <w:color w:val="104862" w:themeColor="accent1" w:themeShade="BF"/>
      <w:spacing w:val="5"/>
    </w:rPr>
  </w:style>
  <w:style w:type="character" w:customStyle="1" w:styleId="38">
    <w:name w:val="页眉 字符"/>
    <w:basedOn w:val="18"/>
    <w:link w:val="13"/>
    <w:qFormat/>
    <w:uiPriority w:val="99"/>
    <w:rPr>
      <w:kern w:val="2"/>
      <w:sz w:val="18"/>
      <w:szCs w:val="18"/>
    </w:rPr>
  </w:style>
  <w:style w:type="character" w:customStyle="1" w:styleId="39">
    <w:name w:val="页脚 字符"/>
    <w:basedOn w:val="18"/>
    <w:link w:val="12"/>
    <w:qFormat/>
    <w:uiPriority w:val="99"/>
    <w:rPr>
      <w:kern w:val="2"/>
      <w:sz w:val="18"/>
      <w:szCs w:val="18"/>
    </w:rPr>
  </w:style>
  <w:style w:type="character" w:customStyle="1" w:styleId="40">
    <w:name w:val="日期 字符"/>
    <w:basedOn w:val="18"/>
    <w:link w:val="11"/>
    <w:semiHidden/>
    <w:qFormat/>
    <w:uiPriority w:val="99"/>
    <w:rPr>
      <w:rFonts w:asciiTheme="minorHAnsi" w:hAnsiTheme="minorHAnsi" w:eastAsiaTheme="minorEastAsia" w:cstheme="minorBidi"/>
      <w:kern w:val="2"/>
      <w:sz w:val="21"/>
      <w:szCs w:val="22"/>
    </w:rPr>
  </w:style>
  <w:style w:type="paragraph" w:customStyle="1" w:styleId="41">
    <w:name w:val="表格"/>
    <w:basedOn w:val="1"/>
    <w:qFormat/>
    <w:uiPriority w:val="0"/>
    <w:pPr>
      <w:spacing w:line="360" w:lineRule="exact"/>
      <w:jc w:val="center"/>
    </w:pPr>
    <w:rPr>
      <w:rFonts w:ascii="Times New Roman" w:hAnsi="Times New Roman" w:eastAsia="宋体" w:cs="宋体"/>
      <w:color w:val="232323"/>
      <w:szCs w:val="21"/>
      <w:lang w:eastAsia="en-US"/>
    </w:rPr>
  </w:style>
  <w:style w:type="paragraph" w:customStyle="1" w:styleId="42">
    <w:name w:val="正文（缩进）"/>
    <w:basedOn w:val="1"/>
    <w:unhideWhenUsed/>
    <w:qFormat/>
    <w:uiPriority w:val="99"/>
    <w:pPr>
      <w:spacing w:beforeLines="50" w:afterLines="50" w:line="400" w:lineRule="exact"/>
      <w:ind w:firstLine="480" w:firstLineChars="200"/>
    </w:pPr>
    <w:rPr>
      <w:rFonts w:ascii="Times New Roman" w:hAnsi="Times New Roman" w:eastAsia="仿宋" w:cs="仿宋"/>
      <w:sz w:val="24"/>
      <w:szCs w:val="32"/>
    </w:rPr>
  </w:style>
</w:styles>
</file>

<file path=word/_rels/document.xml.rels><?xml version="1.0" encoding="UTF-8" standalone="yes"?>
<Relationships xmlns="http://schemas.openxmlformats.org/package/2006/relationships"><Relationship Id="rId5" Type="http://schemas.openxmlformats.org/officeDocument/2006/relationships/fontTable" Target="fontTable.xml"/><Relationship Id="rId4" Type="http://schemas.openxmlformats.org/officeDocument/2006/relationships/customXml" Target="../customXml/item1.xml"/><Relationship Id="rId3"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Pages>7</Pages>
  <Words>522</Words>
  <Characters>2979</Characters>
  <Lines>24</Lines>
  <Paragraphs>6</Paragraphs>
  <TotalTime>16</TotalTime>
  <ScaleCrop>false</ScaleCrop>
  <LinksUpToDate>false</LinksUpToDate>
  <CharactersWithSpaces>3495</CharactersWithSpaces>
  <Application>WPS Office_11.8.2.10154_F1E327BC-269C-435d-A152-05C5408002CA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2025-03-24T01:16:00Z</dcterms:created>
  <dc:creator>jiepin lee</dc:creator>
  <cp:lastModifiedBy>flame</cp:lastModifiedBy>
  <dcterms:modified xsi:type="dcterms:W3CDTF">2025-03-27T07:28:42Z</dcterms:modified>
  <cp:revision>14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TemplateDocerSaveRecord">
    <vt:lpwstr>eyJoZGlkIjoiODg1MjA0YWUzM2M1YzQzZjFmYjFjZDIxNWZjYTBmZDciLCJ1c2VySWQiOiI1ODI4MTY3NDgifQ==</vt:lpwstr>
  </property>
  <property fmtid="{D5CDD505-2E9C-101B-9397-08002B2CF9AE}" pid="3" name="KSOProductBuildVer">
    <vt:lpwstr>2052-11.8.2.10154</vt:lpwstr>
  </property>
  <property fmtid="{D5CDD505-2E9C-101B-9397-08002B2CF9AE}" pid="4" name="ICV">
    <vt:lpwstr>8D994703529F4A1E91650FCD8D9A6717_13</vt:lpwstr>
  </property>
</Properties>
</file>